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9B17D" w14:textId="14738B6E" w:rsidR="00BF7EC3" w:rsidRPr="00CA2A3E" w:rsidRDefault="00BF7EC3" w:rsidP="00862E79">
      <w:pPr>
        <w:pStyle w:val="Date-DE"/>
      </w:pPr>
    </w:p>
    <w:p w14:paraId="101AC4A8" w14:textId="360E917F" w:rsidR="00745242" w:rsidRPr="00CA2A3E" w:rsidRDefault="00224CE2" w:rsidP="002D2EC1">
      <w:pPr>
        <w:pStyle w:val="Date-DE"/>
      </w:pPr>
      <w:r>
        <w:t>12</w:t>
      </w:r>
      <w:r w:rsidR="00842583">
        <w:t xml:space="preserve"> DECEMBER 2024</w:t>
      </w:r>
    </w:p>
    <w:p w14:paraId="6DF71601" w14:textId="0B9C591B" w:rsidR="00D7288E" w:rsidRPr="00CA2A3E" w:rsidRDefault="00842583" w:rsidP="002D2EC1">
      <w:pPr>
        <w:pStyle w:val="Title-DE"/>
      </w:pPr>
      <w:bookmarkStart w:id="0" w:name="_Hlk184806659"/>
      <w:r w:rsidRPr="00842583">
        <w:t xml:space="preserve">Strengthening healthcare cybersecurity: </w:t>
      </w:r>
      <w:r>
        <w:t>F</w:t>
      </w:r>
      <w:r w:rsidRPr="00842583">
        <w:t>ocus on implementation, not new legislation</w:t>
      </w:r>
    </w:p>
    <w:bookmarkEnd w:id="0"/>
    <w:p w14:paraId="3B140E50" w14:textId="77777777" w:rsidR="00D7288E" w:rsidRPr="00CA2A3E" w:rsidRDefault="00D7288E" w:rsidP="008507BD">
      <w:pPr>
        <w:rPr>
          <w:rFonts w:ascii="Arial Nova" w:hAnsi="Arial Nova" w:cstheme="majorHAnsi"/>
          <w:b/>
          <w:color w:val="003DD6" w:themeColor="accent1"/>
        </w:rPr>
      </w:pPr>
    </w:p>
    <w:p w14:paraId="0B75E6C3" w14:textId="77777777" w:rsidR="008507BD" w:rsidRPr="00CA2A3E" w:rsidRDefault="008507BD" w:rsidP="00745242">
      <w:pPr>
        <w:ind w:left="2250" w:hanging="2250"/>
      </w:pPr>
    </w:p>
    <w:p w14:paraId="45227632" w14:textId="77777777" w:rsidR="00745242" w:rsidRPr="00CA2A3E" w:rsidRDefault="008507BD" w:rsidP="00293D4E">
      <w:pPr>
        <w:pStyle w:val="Heading1"/>
      </w:pPr>
      <w:bookmarkStart w:id="1" w:name="_Toc184754737"/>
      <w:r w:rsidRPr="00CA2A3E">
        <w:t xml:space="preserve">Executive </w:t>
      </w:r>
      <w:r w:rsidR="00F20320" w:rsidRPr="00CA2A3E">
        <w:t>s</w:t>
      </w:r>
      <w:r w:rsidRPr="00CA2A3E">
        <w:t>ummary</w:t>
      </w:r>
      <w:bookmarkEnd w:id="1"/>
    </w:p>
    <w:p w14:paraId="345AB728" w14:textId="3E488E02" w:rsidR="00CA2A3E" w:rsidRPr="00CA2A3E" w:rsidRDefault="00CA2A3E" w:rsidP="000A66C7">
      <w:pPr>
        <w:pStyle w:val="Body"/>
      </w:pPr>
      <w:r w:rsidRPr="00CA2A3E">
        <w:t>Europe</w:t>
      </w:r>
      <w:r w:rsidR="008C6D58">
        <w:t>’</w:t>
      </w:r>
      <w:r w:rsidRPr="00CA2A3E">
        <w:t>s healthcare sector faces an escalating cybersecurity crisis, with a sharp increase in ransomware and data-related attacks targeting hospitals and healthcare providers. A recent ENISA report revealed that 54 per cent of reported cyber incidents in healthcare involved ransomware, whilst 46 per cent pertained to breaches of patient data.</w:t>
      </w:r>
      <w:r w:rsidR="009E7CB6">
        <w:rPr>
          <w:rStyle w:val="FootnoteReference"/>
        </w:rPr>
        <w:footnoteReference w:id="2"/>
      </w:r>
      <w:r w:rsidRPr="00CA2A3E">
        <w:t xml:space="preserve"> These growing threats jeopardise patient safety, data integrity and the operational continuity of essential healthcare services.</w:t>
      </w:r>
    </w:p>
    <w:p w14:paraId="5B216C21" w14:textId="61642525" w:rsidR="00CA2A3E" w:rsidRPr="00CA2A3E" w:rsidRDefault="00CA2A3E" w:rsidP="00CA2A3E">
      <w:pPr>
        <w:pStyle w:val="Body"/>
      </w:pPr>
      <w:r w:rsidRPr="00CA2A3E">
        <w:t>Despite the critical importance of cybersecurity, hospitals and healthcare providers face significant challenges in addressing these risks. Limited budgets, talent shortages and complex regulatory requirements hinder their ability to implement holistic, risk-based cybersecurity measures. Additionally, fragmented information-sharing practices within and across Member States exacerbate vulnerabilities, leaving healthcare systems ill-prepared to respond to emerging threats.</w:t>
      </w:r>
    </w:p>
    <w:p w14:paraId="657102A6" w14:textId="2C2A5848" w:rsidR="00CA2A3E" w:rsidRPr="00CA2A3E" w:rsidRDefault="00CA2A3E" w:rsidP="000A66C7">
      <w:pPr>
        <w:pStyle w:val="Body"/>
      </w:pPr>
      <w:r w:rsidRPr="00CA2A3E">
        <w:t xml:space="preserve">To address these challenges, DIGITALEUROPE </w:t>
      </w:r>
      <w:r w:rsidR="003060B0">
        <w:t>supports</w:t>
      </w:r>
      <w:r w:rsidRPr="00CA2A3E">
        <w:t xml:space="preserve"> </w:t>
      </w:r>
      <w:r w:rsidR="003060B0">
        <w:t>the</w:t>
      </w:r>
      <w:r w:rsidRPr="00CA2A3E">
        <w:t xml:space="preserve"> EU Action Plan for the Cybersecurity of Hospitals and Healthcare Providers, as outlined in European Commission President Ursula von der Leyen</w:t>
      </w:r>
      <w:r w:rsidR="008C6D58">
        <w:t>’</w:t>
      </w:r>
      <w:r>
        <w:t>s</w:t>
      </w:r>
      <w:r w:rsidRPr="00CA2A3E">
        <w:t xml:space="preserve"> political guidelines.</w:t>
      </w:r>
      <w:r w:rsidR="003C15C5">
        <w:rPr>
          <w:rStyle w:val="FootnoteReference"/>
        </w:rPr>
        <w:footnoteReference w:id="3"/>
      </w:r>
      <w:r w:rsidRPr="00CA2A3E">
        <w:t xml:space="preserve"> This plan should strengthen public-private partnerships, particularly through </w:t>
      </w:r>
      <w:r w:rsidR="00842F72" w:rsidRPr="00CA2A3E">
        <w:t xml:space="preserve">information sharing and analysis centres </w:t>
      </w:r>
      <w:r w:rsidRPr="00CA2A3E">
        <w:t xml:space="preserve">(ISACs), and provide practical support to healthcare entities for regulatory compliance and threat management. It must </w:t>
      </w:r>
      <w:r w:rsidR="00842F72">
        <w:t>focus on</w:t>
      </w:r>
      <w:r w:rsidRPr="00CA2A3E">
        <w:t xml:space="preserve"> </w:t>
      </w:r>
      <w:r w:rsidR="003D1FF2">
        <w:t xml:space="preserve">the </w:t>
      </w:r>
      <w:r w:rsidRPr="00CA2A3E">
        <w:t xml:space="preserve">effective implementation of existing regulations </w:t>
      </w:r>
      <w:r w:rsidR="00842F72">
        <w:t>as opposed to</w:t>
      </w:r>
      <w:r w:rsidRPr="00CA2A3E">
        <w:t xml:space="preserve"> new legislat</w:t>
      </w:r>
      <w:r w:rsidR="00842F72">
        <w:t>ion</w:t>
      </w:r>
      <w:r w:rsidRPr="00CA2A3E">
        <w:t>.</w:t>
      </w:r>
    </w:p>
    <w:p w14:paraId="3B7F7C16" w14:textId="5E38F085" w:rsidR="00CA2A3E" w:rsidRPr="00CA2A3E" w:rsidRDefault="00CA2A3E" w:rsidP="00CA2A3E">
      <w:pPr>
        <w:pStyle w:val="Body"/>
      </w:pPr>
      <w:r w:rsidRPr="00CA2A3E">
        <w:t>Key recommendations include:</w:t>
      </w:r>
    </w:p>
    <w:p w14:paraId="44A77EF1" w14:textId="66F1132F" w:rsidR="00EF5BA2" w:rsidRDefault="00EF5BA2" w:rsidP="00EF5BA2">
      <w:pPr>
        <w:pStyle w:val="Bulletpoint"/>
      </w:pPr>
      <w:r w:rsidRPr="00EF5BA2">
        <w:rPr>
          <w:b/>
          <w:bCs/>
        </w:rPr>
        <w:lastRenderedPageBreak/>
        <w:t>Strengthen supply chain cyber resilience</w:t>
      </w:r>
      <w:r>
        <w:t>: Address vulnerabilities in outdated medical devices and legacy systems by conducting regular security assessments, upgrading critical systems and transitioning to secure, scalable cloud-based solutions that leverage advanced technologies like AI.</w:t>
      </w:r>
    </w:p>
    <w:p w14:paraId="334A7BE2" w14:textId="50825A86" w:rsidR="00EF5BA2" w:rsidRDefault="00EF5BA2" w:rsidP="00EF5BA2">
      <w:pPr>
        <w:pStyle w:val="Bulletpoint"/>
      </w:pPr>
      <w:r w:rsidRPr="00EF5BA2">
        <w:rPr>
          <w:b/>
          <w:bCs/>
        </w:rPr>
        <w:t>Enhance cybersecurity in procurement</w:t>
      </w:r>
      <w:r>
        <w:t>: Update procurement guidelines to require suppliers to meet stringent cybersecurity standards.</w:t>
      </w:r>
    </w:p>
    <w:p w14:paraId="117A10C3" w14:textId="3B2832E4" w:rsidR="00EF5BA2" w:rsidRDefault="00EF5BA2" w:rsidP="00EF5BA2">
      <w:pPr>
        <w:pStyle w:val="Bulletpoint"/>
      </w:pPr>
      <w:r w:rsidRPr="00EF5BA2">
        <w:rPr>
          <w:b/>
          <w:bCs/>
        </w:rPr>
        <w:t>Invest in funding and skills development</w:t>
      </w:r>
      <w:r>
        <w:t>: Allocate national and EU-level funding for cybersecurity upgrades, training programmes and research initiatives, with specific budget thresholds for healthcare institutions. Promote cybersecurity careers through education, certifications and partnerships with academia and industry.</w:t>
      </w:r>
    </w:p>
    <w:p w14:paraId="79B47914" w14:textId="3783FAB5" w:rsidR="00EF5BA2" w:rsidRDefault="00EF5BA2" w:rsidP="00EF5BA2">
      <w:pPr>
        <w:pStyle w:val="Bulletpoint"/>
      </w:pPr>
      <w:r w:rsidRPr="00EF5BA2">
        <w:rPr>
          <w:b/>
          <w:bCs/>
        </w:rPr>
        <w:t>Strengthen ISACs</w:t>
      </w:r>
      <w:r>
        <w:t>: Expand ISACs</w:t>
      </w:r>
      <w:r w:rsidR="008C6D58">
        <w:t>’</w:t>
      </w:r>
      <w:r>
        <w:t xml:space="preserve"> role by increasing awareness, engaging ENISA, empowering ISACs to lead coordinated responses and integrating them into EU frameworks for critical infrastructure protection.</w:t>
      </w:r>
    </w:p>
    <w:p w14:paraId="5EF39DD4" w14:textId="48365691" w:rsidR="00EF5BA2" w:rsidRDefault="00EF5BA2" w:rsidP="00EF5BA2">
      <w:pPr>
        <w:pStyle w:val="Bulletpoint"/>
      </w:pPr>
      <w:r w:rsidRPr="00EF5BA2">
        <w:rPr>
          <w:b/>
          <w:bCs/>
        </w:rPr>
        <w:t>Establish rapid-response cybersecurity units</w:t>
      </w:r>
      <w:r>
        <w:t>: Require Member States to mandate rapid-response teams within healthcare systems to ensure service continuity and conduct annual cybersecurity exercises to enhance preparedness.</w:t>
      </w:r>
    </w:p>
    <w:p w14:paraId="5C235B57" w14:textId="1A029D5A" w:rsidR="00CA2A3E" w:rsidRPr="00CA2A3E" w:rsidRDefault="00EF5BA2" w:rsidP="00EF5BA2">
      <w:pPr>
        <w:pStyle w:val="Bulletpoint"/>
      </w:pPr>
      <w:r w:rsidRPr="00EF5BA2">
        <w:rPr>
          <w:b/>
          <w:bCs/>
        </w:rPr>
        <w:t>Clarify and streamline NIS2 implementation</w:t>
      </w:r>
      <w:r>
        <w:t>: Publish harmonised guidelines aligning NIS2 with other regulations to avoid duplication.</w:t>
      </w:r>
    </w:p>
    <w:p w14:paraId="163281AA" w14:textId="719A115D" w:rsidR="00742F69" w:rsidRPr="00CA2A3E" w:rsidRDefault="00CA2A3E" w:rsidP="00CA2A3E">
      <w:pPr>
        <w:pStyle w:val="Body"/>
      </w:pPr>
      <w:r w:rsidRPr="00CA2A3E">
        <w:t xml:space="preserve">By addressing these priorities, the </w:t>
      </w:r>
      <w:r w:rsidR="00EF5BA2" w:rsidRPr="00CA2A3E">
        <w:t xml:space="preserve">action plan </w:t>
      </w:r>
      <w:r w:rsidRPr="00CA2A3E">
        <w:t>can unify Member States in creating a resilient healthcare cybersecurity framework, ensuring the safety and sustainability of Europe</w:t>
      </w:r>
      <w:r w:rsidR="008C6D58">
        <w:t>’</w:t>
      </w:r>
      <w:r w:rsidRPr="00CA2A3E">
        <w:t>s healthcare systems.</w:t>
      </w:r>
    </w:p>
    <w:p w14:paraId="02049B81" w14:textId="77777777" w:rsidR="00CE4C85" w:rsidRPr="00CA2A3E" w:rsidRDefault="00CE4C85" w:rsidP="00B121B1">
      <w:pPr>
        <w:pStyle w:val="Bulletpoint"/>
        <w:numPr>
          <w:ilvl w:val="0"/>
          <w:numId w:val="0"/>
        </w:numPr>
      </w:pPr>
    </w:p>
    <w:bookmarkStart w:id="2" w:name="_Toc184754738" w:displacedByCustomXml="next"/>
    <w:sdt>
      <w:sdtPr>
        <w:rPr>
          <w:b w:val="0"/>
          <w:color w:val="000000" w:themeColor="text1"/>
          <w:sz w:val="21"/>
          <w:szCs w:val="21"/>
        </w:rPr>
        <w:id w:val="2042474171"/>
        <w:docPartObj>
          <w:docPartGallery w:val="Table of Contents"/>
          <w:docPartUnique/>
        </w:docPartObj>
      </w:sdtPr>
      <w:sdtEndPr>
        <w:rPr>
          <w:bCs/>
        </w:rPr>
      </w:sdtEndPr>
      <w:sdtContent>
        <w:bookmarkStart w:id="3" w:name="_Toc184657715" w:displacedByCustomXml="prev"/>
        <w:p w14:paraId="05CE5073" w14:textId="77777777" w:rsidR="00AA75F6" w:rsidRPr="00CA2A3E" w:rsidRDefault="00AA75F6" w:rsidP="00DD152D">
          <w:pPr>
            <w:pStyle w:val="Heading1"/>
          </w:pPr>
          <w:r w:rsidRPr="00CA2A3E">
            <w:t xml:space="preserve">Table of </w:t>
          </w:r>
          <w:r w:rsidR="00F20320" w:rsidRPr="00CA2A3E">
            <w:t>c</w:t>
          </w:r>
          <w:r w:rsidRPr="00CA2A3E">
            <w:t>ontents</w:t>
          </w:r>
          <w:bookmarkEnd w:id="2"/>
          <w:bookmarkEnd w:id="3"/>
        </w:p>
        <w:p w14:paraId="5E8D13F1" w14:textId="47E15542" w:rsidR="008C6D58" w:rsidRDefault="00AA75F6">
          <w:pPr>
            <w:pStyle w:val="TOC1"/>
            <w:rPr>
              <w:rFonts w:asciiTheme="minorHAnsi" w:eastAsiaTheme="minorEastAsia" w:hAnsiTheme="minorHAnsi" w:cstheme="minorBidi"/>
              <w:b w:val="0"/>
              <w:bCs w:val="0"/>
              <w:iCs w:val="0"/>
              <w:color w:val="auto"/>
              <w:kern w:val="2"/>
              <w:lang w:val="en-US"/>
              <w14:ligatures w14:val="standardContextual"/>
            </w:rPr>
          </w:pPr>
          <w:r w:rsidRPr="00CA2A3E">
            <w:rPr>
              <w:b w:val="0"/>
              <w:bCs w:val="0"/>
              <w:noProof w:val="0"/>
            </w:rPr>
            <w:fldChar w:fldCharType="begin"/>
          </w:r>
          <w:r w:rsidRPr="00CA2A3E">
            <w:rPr>
              <w:noProof w:val="0"/>
            </w:rPr>
            <w:instrText xml:space="preserve"> TOC \o "1-3" \h \z \u </w:instrText>
          </w:r>
          <w:r w:rsidRPr="00CA2A3E">
            <w:rPr>
              <w:b w:val="0"/>
              <w:bCs w:val="0"/>
              <w:noProof w:val="0"/>
            </w:rPr>
            <w:fldChar w:fldCharType="separate"/>
          </w:r>
          <w:hyperlink w:anchor="_Toc184754737" w:history="1">
            <w:r w:rsidR="008C6D58" w:rsidRPr="00862BA7">
              <w:rPr>
                <w:rStyle w:val="Hyperlink"/>
                <w:rFonts w:ascii="Symbol" w:hAnsi="Symbol"/>
              </w:rPr>
              <w:t></w:t>
            </w:r>
            <w:r w:rsidR="008C6D58">
              <w:rPr>
                <w:rFonts w:asciiTheme="minorHAnsi" w:eastAsiaTheme="minorEastAsia" w:hAnsiTheme="minorHAnsi" w:cstheme="minorBidi"/>
                <w:b w:val="0"/>
                <w:bCs w:val="0"/>
                <w:iCs w:val="0"/>
                <w:color w:val="auto"/>
                <w:kern w:val="2"/>
                <w:lang w:val="en-US"/>
                <w14:ligatures w14:val="standardContextual"/>
              </w:rPr>
              <w:tab/>
            </w:r>
            <w:r w:rsidR="008C6D58" w:rsidRPr="00862BA7">
              <w:rPr>
                <w:rStyle w:val="Hyperlink"/>
              </w:rPr>
              <w:t>Executive summary</w:t>
            </w:r>
            <w:r w:rsidR="008C6D58">
              <w:rPr>
                <w:webHidden/>
              </w:rPr>
              <w:tab/>
            </w:r>
            <w:r w:rsidR="008C6D58">
              <w:rPr>
                <w:webHidden/>
              </w:rPr>
              <w:fldChar w:fldCharType="begin"/>
            </w:r>
            <w:r w:rsidR="008C6D58">
              <w:rPr>
                <w:webHidden/>
              </w:rPr>
              <w:instrText xml:space="preserve"> PAGEREF _Toc184754737 \h </w:instrText>
            </w:r>
            <w:r w:rsidR="008C6D58">
              <w:rPr>
                <w:webHidden/>
              </w:rPr>
            </w:r>
            <w:r w:rsidR="008C6D58">
              <w:rPr>
                <w:webHidden/>
              </w:rPr>
              <w:fldChar w:fldCharType="separate"/>
            </w:r>
            <w:r w:rsidR="008C6D58">
              <w:rPr>
                <w:webHidden/>
              </w:rPr>
              <w:t>1</w:t>
            </w:r>
            <w:r w:rsidR="008C6D58">
              <w:rPr>
                <w:webHidden/>
              </w:rPr>
              <w:fldChar w:fldCharType="end"/>
            </w:r>
          </w:hyperlink>
        </w:p>
        <w:p w14:paraId="6542F624" w14:textId="7A8C01CF" w:rsidR="008C6D58" w:rsidRDefault="008C6D58">
          <w:pPr>
            <w:pStyle w:val="TOC1"/>
            <w:rPr>
              <w:rFonts w:asciiTheme="minorHAnsi" w:eastAsiaTheme="minorEastAsia" w:hAnsiTheme="minorHAnsi" w:cstheme="minorBidi"/>
              <w:b w:val="0"/>
              <w:bCs w:val="0"/>
              <w:iCs w:val="0"/>
              <w:color w:val="auto"/>
              <w:kern w:val="2"/>
              <w:lang w:val="en-US"/>
              <w14:ligatures w14:val="standardContextual"/>
            </w:rPr>
          </w:pPr>
          <w:hyperlink w:anchor="_Toc184754738" w:history="1">
            <w:r w:rsidRPr="00862BA7">
              <w:rPr>
                <w:rStyle w:val="Hyperlink"/>
                <w:rFonts w:ascii="Symbol" w:hAnsi="Symbol"/>
              </w:rPr>
              <w:t></w:t>
            </w:r>
            <w:r>
              <w:rPr>
                <w:rFonts w:asciiTheme="minorHAnsi" w:eastAsiaTheme="minorEastAsia" w:hAnsiTheme="minorHAnsi" w:cstheme="minorBidi"/>
                <w:b w:val="0"/>
                <w:bCs w:val="0"/>
                <w:iCs w:val="0"/>
                <w:color w:val="auto"/>
                <w:kern w:val="2"/>
                <w:lang w:val="en-US"/>
                <w14:ligatures w14:val="standardContextual"/>
              </w:rPr>
              <w:tab/>
            </w:r>
            <w:r w:rsidRPr="00862BA7">
              <w:rPr>
                <w:rStyle w:val="Hyperlink"/>
              </w:rPr>
              <w:t>Table of contents</w:t>
            </w:r>
            <w:r>
              <w:rPr>
                <w:webHidden/>
              </w:rPr>
              <w:tab/>
            </w:r>
            <w:r>
              <w:rPr>
                <w:webHidden/>
              </w:rPr>
              <w:fldChar w:fldCharType="begin"/>
            </w:r>
            <w:r>
              <w:rPr>
                <w:webHidden/>
              </w:rPr>
              <w:instrText xml:space="preserve"> PAGEREF _Toc184754738 \h </w:instrText>
            </w:r>
            <w:r>
              <w:rPr>
                <w:webHidden/>
              </w:rPr>
            </w:r>
            <w:r>
              <w:rPr>
                <w:webHidden/>
              </w:rPr>
              <w:fldChar w:fldCharType="separate"/>
            </w:r>
            <w:r>
              <w:rPr>
                <w:webHidden/>
              </w:rPr>
              <w:t>2</w:t>
            </w:r>
            <w:r>
              <w:rPr>
                <w:webHidden/>
              </w:rPr>
              <w:fldChar w:fldCharType="end"/>
            </w:r>
          </w:hyperlink>
        </w:p>
        <w:p w14:paraId="54E9AB01" w14:textId="4E838067" w:rsidR="008C6D58" w:rsidRDefault="008C6D58">
          <w:pPr>
            <w:pStyle w:val="TOC1"/>
            <w:rPr>
              <w:rFonts w:asciiTheme="minorHAnsi" w:eastAsiaTheme="minorEastAsia" w:hAnsiTheme="minorHAnsi" w:cstheme="minorBidi"/>
              <w:b w:val="0"/>
              <w:bCs w:val="0"/>
              <w:iCs w:val="0"/>
              <w:color w:val="auto"/>
              <w:kern w:val="2"/>
              <w:lang w:val="en-US"/>
              <w14:ligatures w14:val="standardContextual"/>
            </w:rPr>
          </w:pPr>
          <w:hyperlink w:anchor="_Toc184754739" w:history="1">
            <w:r w:rsidRPr="00862BA7">
              <w:rPr>
                <w:rStyle w:val="Hyperlink"/>
                <w:rFonts w:ascii="Symbol" w:hAnsi="Symbol"/>
              </w:rPr>
              <w:t></w:t>
            </w:r>
            <w:r>
              <w:rPr>
                <w:rFonts w:asciiTheme="minorHAnsi" w:eastAsiaTheme="minorEastAsia" w:hAnsiTheme="minorHAnsi" w:cstheme="minorBidi"/>
                <w:b w:val="0"/>
                <w:bCs w:val="0"/>
                <w:iCs w:val="0"/>
                <w:color w:val="auto"/>
                <w:kern w:val="2"/>
                <w:lang w:val="en-US"/>
                <w14:ligatures w14:val="standardContextual"/>
              </w:rPr>
              <w:tab/>
            </w:r>
            <w:r w:rsidRPr="00862BA7">
              <w:rPr>
                <w:rStyle w:val="Hyperlink"/>
              </w:rPr>
              <w:t>Embedding cyber resilience in healthcare supply chains</w:t>
            </w:r>
            <w:r>
              <w:rPr>
                <w:webHidden/>
              </w:rPr>
              <w:tab/>
            </w:r>
            <w:r>
              <w:rPr>
                <w:webHidden/>
              </w:rPr>
              <w:fldChar w:fldCharType="begin"/>
            </w:r>
            <w:r>
              <w:rPr>
                <w:webHidden/>
              </w:rPr>
              <w:instrText xml:space="preserve"> PAGEREF _Toc184754739 \h </w:instrText>
            </w:r>
            <w:r>
              <w:rPr>
                <w:webHidden/>
              </w:rPr>
            </w:r>
            <w:r>
              <w:rPr>
                <w:webHidden/>
              </w:rPr>
              <w:fldChar w:fldCharType="separate"/>
            </w:r>
            <w:r>
              <w:rPr>
                <w:webHidden/>
              </w:rPr>
              <w:t>4</w:t>
            </w:r>
            <w:r>
              <w:rPr>
                <w:webHidden/>
              </w:rPr>
              <w:fldChar w:fldCharType="end"/>
            </w:r>
          </w:hyperlink>
        </w:p>
        <w:p w14:paraId="23521CBB" w14:textId="34218391"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40" w:history="1">
            <w:r w:rsidRPr="00862BA7">
              <w:rPr>
                <w:rStyle w:val="Hyperlink"/>
                <w:noProof/>
              </w:rPr>
              <w:t>Mitigating legacy risks and transitioning to modern solutions</w:t>
            </w:r>
            <w:r>
              <w:rPr>
                <w:noProof/>
                <w:webHidden/>
              </w:rPr>
              <w:tab/>
            </w:r>
            <w:r>
              <w:rPr>
                <w:noProof/>
                <w:webHidden/>
              </w:rPr>
              <w:fldChar w:fldCharType="begin"/>
            </w:r>
            <w:r>
              <w:rPr>
                <w:noProof/>
                <w:webHidden/>
              </w:rPr>
              <w:instrText xml:space="preserve"> PAGEREF _Toc184754740 \h </w:instrText>
            </w:r>
            <w:r>
              <w:rPr>
                <w:noProof/>
                <w:webHidden/>
              </w:rPr>
            </w:r>
            <w:r>
              <w:rPr>
                <w:noProof/>
                <w:webHidden/>
              </w:rPr>
              <w:fldChar w:fldCharType="separate"/>
            </w:r>
            <w:r>
              <w:rPr>
                <w:noProof/>
                <w:webHidden/>
              </w:rPr>
              <w:t>4</w:t>
            </w:r>
            <w:r>
              <w:rPr>
                <w:noProof/>
                <w:webHidden/>
              </w:rPr>
              <w:fldChar w:fldCharType="end"/>
            </w:r>
          </w:hyperlink>
        </w:p>
        <w:p w14:paraId="202503D5" w14:textId="6C4B9427"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41" w:history="1">
            <w:r w:rsidRPr="00862BA7">
              <w:rPr>
                <w:rStyle w:val="Hyperlink"/>
                <w:noProof/>
              </w:rPr>
              <w:t xml:space="preserve">Creating a </w:t>
            </w:r>
            <w:r>
              <w:rPr>
                <w:rStyle w:val="Hyperlink"/>
                <w:noProof/>
              </w:rPr>
              <w:t>‘</w:t>
            </w:r>
            <w:r w:rsidRPr="00862BA7">
              <w:rPr>
                <w:rStyle w:val="Hyperlink"/>
                <w:noProof/>
              </w:rPr>
              <w:t>ring of steel</w:t>
            </w:r>
            <w:r>
              <w:rPr>
                <w:rStyle w:val="Hyperlink"/>
                <w:noProof/>
              </w:rPr>
              <w:t>’</w:t>
            </w:r>
            <w:r w:rsidRPr="00862BA7">
              <w:rPr>
                <w:rStyle w:val="Hyperlink"/>
                <w:noProof/>
              </w:rPr>
              <w:t xml:space="preserve"> around critical assets</w:t>
            </w:r>
            <w:r>
              <w:rPr>
                <w:noProof/>
                <w:webHidden/>
              </w:rPr>
              <w:tab/>
            </w:r>
            <w:r>
              <w:rPr>
                <w:noProof/>
                <w:webHidden/>
              </w:rPr>
              <w:fldChar w:fldCharType="begin"/>
            </w:r>
            <w:r>
              <w:rPr>
                <w:noProof/>
                <w:webHidden/>
              </w:rPr>
              <w:instrText xml:space="preserve"> PAGEREF _Toc184754741 \h </w:instrText>
            </w:r>
            <w:r>
              <w:rPr>
                <w:noProof/>
                <w:webHidden/>
              </w:rPr>
            </w:r>
            <w:r>
              <w:rPr>
                <w:noProof/>
                <w:webHidden/>
              </w:rPr>
              <w:fldChar w:fldCharType="separate"/>
            </w:r>
            <w:r>
              <w:rPr>
                <w:noProof/>
                <w:webHidden/>
              </w:rPr>
              <w:t>4</w:t>
            </w:r>
            <w:r>
              <w:rPr>
                <w:noProof/>
                <w:webHidden/>
              </w:rPr>
              <w:fldChar w:fldCharType="end"/>
            </w:r>
          </w:hyperlink>
        </w:p>
        <w:p w14:paraId="4710CA4F" w14:textId="606331B3"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42" w:history="1">
            <w:r w:rsidRPr="00862BA7">
              <w:rPr>
                <w:rStyle w:val="Hyperlink"/>
                <w:noProof/>
              </w:rPr>
              <w:t>Strengthening cybersecurity in procurement</w:t>
            </w:r>
            <w:r>
              <w:rPr>
                <w:noProof/>
                <w:webHidden/>
              </w:rPr>
              <w:tab/>
            </w:r>
            <w:r>
              <w:rPr>
                <w:noProof/>
                <w:webHidden/>
              </w:rPr>
              <w:fldChar w:fldCharType="begin"/>
            </w:r>
            <w:r>
              <w:rPr>
                <w:noProof/>
                <w:webHidden/>
              </w:rPr>
              <w:instrText xml:space="preserve"> PAGEREF _Toc184754742 \h </w:instrText>
            </w:r>
            <w:r>
              <w:rPr>
                <w:noProof/>
                <w:webHidden/>
              </w:rPr>
            </w:r>
            <w:r>
              <w:rPr>
                <w:noProof/>
                <w:webHidden/>
              </w:rPr>
              <w:fldChar w:fldCharType="separate"/>
            </w:r>
            <w:r>
              <w:rPr>
                <w:noProof/>
                <w:webHidden/>
              </w:rPr>
              <w:t>5</w:t>
            </w:r>
            <w:r>
              <w:rPr>
                <w:noProof/>
                <w:webHidden/>
              </w:rPr>
              <w:fldChar w:fldCharType="end"/>
            </w:r>
          </w:hyperlink>
        </w:p>
        <w:p w14:paraId="6A2E20EC" w14:textId="322C8881"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43" w:history="1">
            <w:r w:rsidRPr="00862BA7">
              <w:rPr>
                <w:rStyle w:val="Hyperlink"/>
                <w:noProof/>
              </w:rPr>
              <w:t>Promoting secure-by-design principles</w:t>
            </w:r>
            <w:r>
              <w:rPr>
                <w:noProof/>
                <w:webHidden/>
              </w:rPr>
              <w:tab/>
            </w:r>
            <w:r>
              <w:rPr>
                <w:noProof/>
                <w:webHidden/>
              </w:rPr>
              <w:fldChar w:fldCharType="begin"/>
            </w:r>
            <w:r>
              <w:rPr>
                <w:noProof/>
                <w:webHidden/>
              </w:rPr>
              <w:instrText xml:space="preserve"> PAGEREF _Toc184754743 \h </w:instrText>
            </w:r>
            <w:r>
              <w:rPr>
                <w:noProof/>
                <w:webHidden/>
              </w:rPr>
            </w:r>
            <w:r>
              <w:rPr>
                <w:noProof/>
                <w:webHidden/>
              </w:rPr>
              <w:fldChar w:fldCharType="separate"/>
            </w:r>
            <w:r>
              <w:rPr>
                <w:noProof/>
                <w:webHidden/>
              </w:rPr>
              <w:t>5</w:t>
            </w:r>
            <w:r>
              <w:rPr>
                <w:noProof/>
                <w:webHidden/>
              </w:rPr>
              <w:fldChar w:fldCharType="end"/>
            </w:r>
          </w:hyperlink>
        </w:p>
        <w:p w14:paraId="06B1F0FA" w14:textId="12764ECA"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44" w:history="1">
            <w:r w:rsidRPr="00862BA7">
              <w:rPr>
                <w:rStyle w:val="Hyperlink"/>
                <w:noProof/>
              </w:rPr>
              <w:t>Developing digital resilience action plans</w:t>
            </w:r>
            <w:r>
              <w:rPr>
                <w:noProof/>
                <w:webHidden/>
              </w:rPr>
              <w:tab/>
            </w:r>
            <w:r>
              <w:rPr>
                <w:noProof/>
                <w:webHidden/>
              </w:rPr>
              <w:fldChar w:fldCharType="begin"/>
            </w:r>
            <w:r>
              <w:rPr>
                <w:noProof/>
                <w:webHidden/>
              </w:rPr>
              <w:instrText xml:space="preserve"> PAGEREF _Toc184754744 \h </w:instrText>
            </w:r>
            <w:r>
              <w:rPr>
                <w:noProof/>
                <w:webHidden/>
              </w:rPr>
            </w:r>
            <w:r>
              <w:rPr>
                <w:noProof/>
                <w:webHidden/>
              </w:rPr>
              <w:fldChar w:fldCharType="separate"/>
            </w:r>
            <w:r>
              <w:rPr>
                <w:noProof/>
                <w:webHidden/>
              </w:rPr>
              <w:t>5</w:t>
            </w:r>
            <w:r>
              <w:rPr>
                <w:noProof/>
                <w:webHidden/>
              </w:rPr>
              <w:fldChar w:fldCharType="end"/>
            </w:r>
          </w:hyperlink>
        </w:p>
        <w:p w14:paraId="7376683B" w14:textId="08E5ECDF" w:rsidR="008C6D58" w:rsidRDefault="008C6D58">
          <w:pPr>
            <w:pStyle w:val="TOC1"/>
            <w:rPr>
              <w:rFonts w:asciiTheme="minorHAnsi" w:eastAsiaTheme="minorEastAsia" w:hAnsiTheme="minorHAnsi" w:cstheme="minorBidi"/>
              <w:b w:val="0"/>
              <w:bCs w:val="0"/>
              <w:iCs w:val="0"/>
              <w:color w:val="auto"/>
              <w:kern w:val="2"/>
              <w:lang w:val="en-US"/>
              <w14:ligatures w14:val="standardContextual"/>
            </w:rPr>
          </w:pPr>
          <w:hyperlink w:anchor="_Toc184754745" w:history="1">
            <w:r w:rsidRPr="00862BA7">
              <w:rPr>
                <w:rStyle w:val="Hyperlink"/>
                <w:rFonts w:ascii="Symbol" w:hAnsi="Symbol"/>
              </w:rPr>
              <w:t></w:t>
            </w:r>
            <w:r>
              <w:rPr>
                <w:rFonts w:asciiTheme="minorHAnsi" w:eastAsiaTheme="minorEastAsia" w:hAnsiTheme="minorHAnsi" w:cstheme="minorBidi"/>
                <w:b w:val="0"/>
                <w:bCs w:val="0"/>
                <w:iCs w:val="0"/>
                <w:color w:val="auto"/>
                <w:kern w:val="2"/>
                <w:lang w:val="en-US"/>
                <w14:ligatures w14:val="standardContextual"/>
              </w:rPr>
              <w:tab/>
            </w:r>
            <w:r w:rsidRPr="00862BA7">
              <w:rPr>
                <w:rStyle w:val="Hyperlink"/>
              </w:rPr>
              <w:t>Dedicated funding and skills development</w:t>
            </w:r>
            <w:r>
              <w:rPr>
                <w:webHidden/>
              </w:rPr>
              <w:tab/>
            </w:r>
            <w:r>
              <w:rPr>
                <w:webHidden/>
              </w:rPr>
              <w:fldChar w:fldCharType="begin"/>
            </w:r>
            <w:r>
              <w:rPr>
                <w:webHidden/>
              </w:rPr>
              <w:instrText xml:space="preserve"> PAGEREF _Toc184754745 \h </w:instrText>
            </w:r>
            <w:r>
              <w:rPr>
                <w:webHidden/>
              </w:rPr>
            </w:r>
            <w:r>
              <w:rPr>
                <w:webHidden/>
              </w:rPr>
              <w:fldChar w:fldCharType="separate"/>
            </w:r>
            <w:r>
              <w:rPr>
                <w:webHidden/>
              </w:rPr>
              <w:t>6</w:t>
            </w:r>
            <w:r>
              <w:rPr>
                <w:webHidden/>
              </w:rPr>
              <w:fldChar w:fldCharType="end"/>
            </w:r>
          </w:hyperlink>
        </w:p>
        <w:p w14:paraId="20898F3B" w14:textId="5A71E34A"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46" w:history="1">
            <w:r w:rsidRPr="00862BA7">
              <w:rPr>
                <w:rStyle w:val="Hyperlink"/>
                <w:noProof/>
              </w:rPr>
              <w:t>Building a robust funding framework</w:t>
            </w:r>
            <w:r>
              <w:rPr>
                <w:noProof/>
                <w:webHidden/>
              </w:rPr>
              <w:tab/>
            </w:r>
            <w:r>
              <w:rPr>
                <w:noProof/>
                <w:webHidden/>
              </w:rPr>
              <w:fldChar w:fldCharType="begin"/>
            </w:r>
            <w:r>
              <w:rPr>
                <w:noProof/>
                <w:webHidden/>
              </w:rPr>
              <w:instrText xml:space="preserve"> PAGEREF _Toc184754746 \h </w:instrText>
            </w:r>
            <w:r>
              <w:rPr>
                <w:noProof/>
                <w:webHidden/>
              </w:rPr>
            </w:r>
            <w:r>
              <w:rPr>
                <w:noProof/>
                <w:webHidden/>
              </w:rPr>
              <w:fldChar w:fldCharType="separate"/>
            </w:r>
            <w:r>
              <w:rPr>
                <w:noProof/>
                <w:webHidden/>
              </w:rPr>
              <w:t>6</w:t>
            </w:r>
            <w:r>
              <w:rPr>
                <w:noProof/>
                <w:webHidden/>
              </w:rPr>
              <w:fldChar w:fldCharType="end"/>
            </w:r>
          </w:hyperlink>
        </w:p>
        <w:p w14:paraId="58487E35" w14:textId="596202EF"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47" w:history="1">
            <w:r w:rsidRPr="00862BA7">
              <w:rPr>
                <w:rStyle w:val="Hyperlink"/>
                <w:noProof/>
              </w:rPr>
              <w:t>National funding initiatives</w:t>
            </w:r>
            <w:r>
              <w:rPr>
                <w:noProof/>
                <w:webHidden/>
              </w:rPr>
              <w:tab/>
            </w:r>
            <w:r>
              <w:rPr>
                <w:noProof/>
                <w:webHidden/>
              </w:rPr>
              <w:fldChar w:fldCharType="begin"/>
            </w:r>
            <w:r>
              <w:rPr>
                <w:noProof/>
                <w:webHidden/>
              </w:rPr>
              <w:instrText xml:space="preserve"> PAGEREF _Toc184754747 \h </w:instrText>
            </w:r>
            <w:r>
              <w:rPr>
                <w:noProof/>
                <w:webHidden/>
              </w:rPr>
            </w:r>
            <w:r>
              <w:rPr>
                <w:noProof/>
                <w:webHidden/>
              </w:rPr>
              <w:fldChar w:fldCharType="separate"/>
            </w:r>
            <w:r>
              <w:rPr>
                <w:noProof/>
                <w:webHidden/>
              </w:rPr>
              <w:t>6</w:t>
            </w:r>
            <w:r>
              <w:rPr>
                <w:noProof/>
                <w:webHidden/>
              </w:rPr>
              <w:fldChar w:fldCharType="end"/>
            </w:r>
          </w:hyperlink>
        </w:p>
        <w:p w14:paraId="701EA4CC" w14:textId="6D429F4B"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48" w:history="1">
            <w:r w:rsidRPr="00862BA7">
              <w:rPr>
                <w:rStyle w:val="Hyperlink"/>
                <w:noProof/>
              </w:rPr>
              <w:t>EU-level financial support</w:t>
            </w:r>
            <w:r>
              <w:rPr>
                <w:noProof/>
                <w:webHidden/>
              </w:rPr>
              <w:tab/>
            </w:r>
            <w:r>
              <w:rPr>
                <w:noProof/>
                <w:webHidden/>
              </w:rPr>
              <w:fldChar w:fldCharType="begin"/>
            </w:r>
            <w:r>
              <w:rPr>
                <w:noProof/>
                <w:webHidden/>
              </w:rPr>
              <w:instrText xml:space="preserve"> PAGEREF _Toc184754748 \h </w:instrText>
            </w:r>
            <w:r>
              <w:rPr>
                <w:noProof/>
                <w:webHidden/>
              </w:rPr>
            </w:r>
            <w:r>
              <w:rPr>
                <w:noProof/>
                <w:webHidden/>
              </w:rPr>
              <w:fldChar w:fldCharType="separate"/>
            </w:r>
            <w:r>
              <w:rPr>
                <w:noProof/>
                <w:webHidden/>
              </w:rPr>
              <w:t>6</w:t>
            </w:r>
            <w:r>
              <w:rPr>
                <w:noProof/>
                <w:webHidden/>
              </w:rPr>
              <w:fldChar w:fldCharType="end"/>
            </w:r>
          </w:hyperlink>
        </w:p>
        <w:p w14:paraId="62A51560" w14:textId="74CDC3CA"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49" w:history="1">
            <w:r w:rsidRPr="00862BA7">
              <w:rPr>
                <w:rStyle w:val="Hyperlink"/>
                <w:noProof/>
              </w:rPr>
              <w:t>Budget thresholds for healthcare institutions</w:t>
            </w:r>
            <w:r>
              <w:rPr>
                <w:noProof/>
                <w:webHidden/>
              </w:rPr>
              <w:tab/>
            </w:r>
            <w:r>
              <w:rPr>
                <w:noProof/>
                <w:webHidden/>
              </w:rPr>
              <w:fldChar w:fldCharType="begin"/>
            </w:r>
            <w:r>
              <w:rPr>
                <w:noProof/>
                <w:webHidden/>
              </w:rPr>
              <w:instrText xml:space="preserve"> PAGEREF _Toc184754749 \h </w:instrText>
            </w:r>
            <w:r>
              <w:rPr>
                <w:noProof/>
                <w:webHidden/>
              </w:rPr>
            </w:r>
            <w:r>
              <w:rPr>
                <w:noProof/>
                <w:webHidden/>
              </w:rPr>
              <w:fldChar w:fldCharType="separate"/>
            </w:r>
            <w:r>
              <w:rPr>
                <w:noProof/>
                <w:webHidden/>
              </w:rPr>
              <w:t>7</w:t>
            </w:r>
            <w:r>
              <w:rPr>
                <w:noProof/>
                <w:webHidden/>
              </w:rPr>
              <w:fldChar w:fldCharType="end"/>
            </w:r>
          </w:hyperlink>
        </w:p>
        <w:p w14:paraId="7231FA09" w14:textId="47696BAC"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0" w:history="1">
            <w:r w:rsidRPr="00862BA7">
              <w:rPr>
                <w:rStyle w:val="Hyperlink"/>
                <w:noProof/>
              </w:rPr>
              <w:t>Incentives for cybersecurity investments</w:t>
            </w:r>
            <w:r>
              <w:rPr>
                <w:noProof/>
                <w:webHidden/>
              </w:rPr>
              <w:tab/>
            </w:r>
            <w:r>
              <w:rPr>
                <w:noProof/>
                <w:webHidden/>
              </w:rPr>
              <w:fldChar w:fldCharType="begin"/>
            </w:r>
            <w:r>
              <w:rPr>
                <w:noProof/>
                <w:webHidden/>
              </w:rPr>
              <w:instrText xml:space="preserve"> PAGEREF _Toc184754750 \h </w:instrText>
            </w:r>
            <w:r>
              <w:rPr>
                <w:noProof/>
                <w:webHidden/>
              </w:rPr>
            </w:r>
            <w:r>
              <w:rPr>
                <w:noProof/>
                <w:webHidden/>
              </w:rPr>
              <w:fldChar w:fldCharType="separate"/>
            </w:r>
            <w:r>
              <w:rPr>
                <w:noProof/>
                <w:webHidden/>
              </w:rPr>
              <w:t>7</w:t>
            </w:r>
            <w:r>
              <w:rPr>
                <w:noProof/>
                <w:webHidden/>
              </w:rPr>
              <w:fldChar w:fldCharType="end"/>
            </w:r>
          </w:hyperlink>
        </w:p>
        <w:p w14:paraId="02521645" w14:textId="429B8EFF"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1" w:history="1">
            <w:r w:rsidRPr="00862BA7">
              <w:rPr>
                <w:rStyle w:val="Hyperlink"/>
                <w:noProof/>
              </w:rPr>
              <w:t>Investment in cybersecurity research</w:t>
            </w:r>
            <w:r>
              <w:rPr>
                <w:noProof/>
                <w:webHidden/>
              </w:rPr>
              <w:tab/>
            </w:r>
            <w:r>
              <w:rPr>
                <w:noProof/>
                <w:webHidden/>
              </w:rPr>
              <w:fldChar w:fldCharType="begin"/>
            </w:r>
            <w:r>
              <w:rPr>
                <w:noProof/>
                <w:webHidden/>
              </w:rPr>
              <w:instrText xml:space="preserve"> PAGEREF _Toc184754751 \h </w:instrText>
            </w:r>
            <w:r>
              <w:rPr>
                <w:noProof/>
                <w:webHidden/>
              </w:rPr>
            </w:r>
            <w:r>
              <w:rPr>
                <w:noProof/>
                <w:webHidden/>
              </w:rPr>
              <w:fldChar w:fldCharType="separate"/>
            </w:r>
            <w:r>
              <w:rPr>
                <w:noProof/>
                <w:webHidden/>
              </w:rPr>
              <w:t>7</w:t>
            </w:r>
            <w:r>
              <w:rPr>
                <w:noProof/>
                <w:webHidden/>
              </w:rPr>
              <w:fldChar w:fldCharType="end"/>
            </w:r>
          </w:hyperlink>
        </w:p>
        <w:p w14:paraId="222D173B" w14:textId="438B23C3" w:rsidR="008C6D58" w:rsidRDefault="008C6D58">
          <w:pPr>
            <w:pStyle w:val="TOC2"/>
            <w:tabs>
              <w:tab w:val="right" w:leader="dot" w:pos="7576"/>
            </w:tabs>
            <w:rPr>
              <w:rFonts w:asciiTheme="minorHAnsi" w:eastAsiaTheme="minorEastAsia" w:hAnsiTheme="minorHAnsi" w:cstheme="minorBidi"/>
              <w:b w:val="0"/>
              <w:bCs w:val="0"/>
              <w:noProof/>
              <w:color w:val="auto"/>
              <w:kern w:val="2"/>
              <w:sz w:val="24"/>
              <w:szCs w:val="24"/>
              <w:lang w:val="en-US"/>
              <w14:ligatures w14:val="standardContextual"/>
            </w:rPr>
          </w:pPr>
          <w:hyperlink w:anchor="_Toc184754752" w:history="1">
            <w:r w:rsidRPr="00862BA7">
              <w:rPr>
                <w:rStyle w:val="Hyperlink"/>
                <w:noProof/>
              </w:rPr>
              <w:t>Skills development: strengthening the cybersecurity workforce</w:t>
            </w:r>
            <w:r>
              <w:rPr>
                <w:noProof/>
                <w:webHidden/>
              </w:rPr>
              <w:tab/>
            </w:r>
            <w:r>
              <w:rPr>
                <w:noProof/>
                <w:webHidden/>
              </w:rPr>
              <w:fldChar w:fldCharType="begin"/>
            </w:r>
            <w:r>
              <w:rPr>
                <w:noProof/>
                <w:webHidden/>
              </w:rPr>
              <w:instrText xml:space="preserve"> PAGEREF _Toc184754752 \h </w:instrText>
            </w:r>
            <w:r>
              <w:rPr>
                <w:noProof/>
                <w:webHidden/>
              </w:rPr>
            </w:r>
            <w:r>
              <w:rPr>
                <w:noProof/>
                <w:webHidden/>
              </w:rPr>
              <w:fldChar w:fldCharType="separate"/>
            </w:r>
            <w:r>
              <w:rPr>
                <w:noProof/>
                <w:webHidden/>
              </w:rPr>
              <w:t>7</w:t>
            </w:r>
            <w:r>
              <w:rPr>
                <w:noProof/>
                <w:webHidden/>
              </w:rPr>
              <w:fldChar w:fldCharType="end"/>
            </w:r>
          </w:hyperlink>
        </w:p>
        <w:p w14:paraId="36E0F4D3" w14:textId="425B82E9"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3" w:history="1">
            <w:r w:rsidRPr="00862BA7">
              <w:rPr>
                <w:rStyle w:val="Hyperlink"/>
                <w:noProof/>
              </w:rPr>
              <w:t>Promoting cybersecurity careers</w:t>
            </w:r>
            <w:r>
              <w:rPr>
                <w:noProof/>
                <w:webHidden/>
              </w:rPr>
              <w:tab/>
            </w:r>
            <w:r>
              <w:rPr>
                <w:noProof/>
                <w:webHidden/>
              </w:rPr>
              <w:fldChar w:fldCharType="begin"/>
            </w:r>
            <w:r>
              <w:rPr>
                <w:noProof/>
                <w:webHidden/>
              </w:rPr>
              <w:instrText xml:space="preserve"> PAGEREF _Toc184754753 \h </w:instrText>
            </w:r>
            <w:r>
              <w:rPr>
                <w:noProof/>
                <w:webHidden/>
              </w:rPr>
            </w:r>
            <w:r>
              <w:rPr>
                <w:noProof/>
                <w:webHidden/>
              </w:rPr>
              <w:fldChar w:fldCharType="separate"/>
            </w:r>
            <w:r>
              <w:rPr>
                <w:noProof/>
                <w:webHidden/>
              </w:rPr>
              <w:t>7</w:t>
            </w:r>
            <w:r>
              <w:rPr>
                <w:noProof/>
                <w:webHidden/>
              </w:rPr>
              <w:fldChar w:fldCharType="end"/>
            </w:r>
          </w:hyperlink>
        </w:p>
        <w:p w14:paraId="6F1D0A95" w14:textId="568F534B"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4" w:history="1">
            <w:r w:rsidRPr="00862BA7">
              <w:rPr>
                <w:rStyle w:val="Hyperlink"/>
                <w:noProof/>
              </w:rPr>
              <w:t>EU-wide certification</w:t>
            </w:r>
            <w:r>
              <w:rPr>
                <w:noProof/>
                <w:webHidden/>
              </w:rPr>
              <w:tab/>
            </w:r>
            <w:r>
              <w:rPr>
                <w:noProof/>
                <w:webHidden/>
              </w:rPr>
              <w:fldChar w:fldCharType="begin"/>
            </w:r>
            <w:r>
              <w:rPr>
                <w:noProof/>
                <w:webHidden/>
              </w:rPr>
              <w:instrText xml:space="preserve"> PAGEREF _Toc184754754 \h </w:instrText>
            </w:r>
            <w:r>
              <w:rPr>
                <w:noProof/>
                <w:webHidden/>
              </w:rPr>
            </w:r>
            <w:r>
              <w:rPr>
                <w:noProof/>
                <w:webHidden/>
              </w:rPr>
              <w:fldChar w:fldCharType="separate"/>
            </w:r>
            <w:r>
              <w:rPr>
                <w:noProof/>
                <w:webHidden/>
              </w:rPr>
              <w:t>8</w:t>
            </w:r>
            <w:r>
              <w:rPr>
                <w:noProof/>
                <w:webHidden/>
              </w:rPr>
              <w:fldChar w:fldCharType="end"/>
            </w:r>
          </w:hyperlink>
        </w:p>
        <w:p w14:paraId="482BDE5B" w14:textId="18884C6D"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5" w:history="1">
            <w:r w:rsidRPr="00862BA7">
              <w:rPr>
                <w:rStyle w:val="Hyperlink"/>
                <w:noProof/>
              </w:rPr>
              <w:t>Partnerships for career opportunities</w:t>
            </w:r>
            <w:r>
              <w:rPr>
                <w:noProof/>
                <w:webHidden/>
              </w:rPr>
              <w:tab/>
            </w:r>
            <w:r>
              <w:rPr>
                <w:noProof/>
                <w:webHidden/>
              </w:rPr>
              <w:fldChar w:fldCharType="begin"/>
            </w:r>
            <w:r>
              <w:rPr>
                <w:noProof/>
                <w:webHidden/>
              </w:rPr>
              <w:instrText xml:space="preserve"> PAGEREF _Toc184754755 \h </w:instrText>
            </w:r>
            <w:r>
              <w:rPr>
                <w:noProof/>
                <w:webHidden/>
              </w:rPr>
            </w:r>
            <w:r>
              <w:rPr>
                <w:noProof/>
                <w:webHidden/>
              </w:rPr>
              <w:fldChar w:fldCharType="separate"/>
            </w:r>
            <w:r>
              <w:rPr>
                <w:noProof/>
                <w:webHidden/>
              </w:rPr>
              <w:t>8</w:t>
            </w:r>
            <w:r>
              <w:rPr>
                <w:noProof/>
                <w:webHidden/>
              </w:rPr>
              <w:fldChar w:fldCharType="end"/>
            </w:r>
          </w:hyperlink>
        </w:p>
        <w:p w14:paraId="55FE1602" w14:textId="4FAF4E12"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6" w:history="1">
            <w:r w:rsidRPr="00862BA7">
              <w:rPr>
                <w:rStyle w:val="Hyperlink"/>
                <w:noProof/>
              </w:rPr>
              <w:t>Enhancing cybersecurity education</w:t>
            </w:r>
            <w:r>
              <w:rPr>
                <w:noProof/>
                <w:webHidden/>
              </w:rPr>
              <w:tab/>
            </w:r>
            <w:r>
              <w:rPr>
                <w:noProof/>
                <w:webHidden/>
              </w:rPr>
              <w:fldChar w:fldCharType="begin"/>
            </w:r>
            <w:r>
              <w:rPr>
                <w:noProof/>
                <w:webHidden/>
              </w:rPr>
              <w:instrText xml:space="preserve"> PAGEREF _Toc184754756 \h </w:instrText>
            </w:r>
            <w:r>
              <w:rPr>
                <w:noProof/>
                <w:webHidden/>
              </w:rPr>
            </w:r>
            <w:r>
              <w:rPr>
                <w:noProof/>
                <w:webHidden/>
              </w:rPr>
              <w:fldChar w:fldCharType="separate"/>
            </w:r>
            <w:r>
              <w:rPr>
                <w:noProof/>
                <w:webHidden/>
              </w:rPr>
              <w:t>8</w:t>
            </w:r>
            <w:r>
              <w:rPr>
                <w:noProof/>
                <w:webHidden/>
              </w:rPr>
              <w:fldChar w:fldCharType="end"/>
            </w:r>
          </w:hyperlink>
        </w:p>
        <w:p w14:paraId="0F9F3979" w14:textId="51542A63" w:rsidR="008C6D58" w:rsidRDefault="008C6D58">
          <w:pPr>
            <w:pStyle w:val="TOC3"/>
            <w:tabs>
              <w:tab w:val="right" w:leader="dot" w:pos="7576"/>
            </w:tabs>
            <w:rPr>
              <w:rFonts w:asciiTheme="minorHAnsi" w:eastAsiaTheme="minorEastAsia" w:hAnsiTheme="minorHAnsi" w:cstheme="minorBidi"/>
              <w:noProof/>
              <w:color w:val="auto"/>
              <w:kern w:val="2"/>
              <w:sz w:val="24"/>
              <w:szCs w:val="24"/>
              <w:lang w:val="en-US"/>
              <w14:ligatures w14:val="standardContextual"/>
            </w:rPr>
          </w:pPr>
          <w:hyperlink w:anchor="_Toc184754757" w:history="1">
            <w:r w:rsidRPr="00862BA7">
              <w:rPr>
                <w:rStyle w:val="Hyperlink"/>
                <w:noProof/>
              </w:rPr>
              <w:t>Tailored training for healthcare ecosystems</w:t>
            </w:r>
            <w:r>
              <w:rPr>
                <w:noProof/>
                <w:webHidden/>
              </w:rPr>
              <w:tab/>
            </w:r>
            <w:r>
              <w:rPr>
                <w:noProof/>
                <w:webHidden/>
              </w:rPr>
              <w:fldChar w:fldCharType="begin"/>
            </w:r>
            <w:r>
              <w:rPr>
                <w:noProof/>
                <w:webHidden/>
              </w:rPr>
              <w:instrText xml:space="preserve"> PAGEREF _Toc184754757 \h </w:instrText>
            </w:r>
            <w:r>
              <w:rPr>
                <w:noProof/>
                <w:webHidden/>
              </w:rPr>
            </w:r>
            <w:r>
              <w:rPr>
                <w:noProof/>
                <w:webHidden/>
              </w:rPr>
              <w:fldChar w:fldCharType="separate"/>
            </w:r>
            <w:r>
              <w:rPr>
                <w:noProof/>
                <w:webHidden/>
              </w:rPr>
              <w:t>8</w:t>
            </w:r>
            <w:r>
              <w:rPr>
                <w:noProof/>
                <w:webHidden/>
              </w:rPr>
              <w:fldChar w:fldCharType="end"/>
            </w:r>
          </w:hyperlink>
        </w:p>
        <w:p w14:paraId="6A6C9C43" w14:textId="29213C61" w:rsidR="008C6D58" w:rsidRDefault="008C6D58">
          <w:pPr>
            <w:pStyle w:val="TOC1"/>
            <w:rPr>
              <w:rFonts w:asciiTheme="minorHAnsi" w:eastAsiaTheme="minorEastAsia" w:hAnsiTheme="minorHAnsi" w:cstheme="minorBidi"/>
              <w:b w:val="0"/>
              <w:bCs w:val="0"/>
              <w:iCs w:val="0"/>
              <w:color w:val="auto"/>
              <w:kern w:val="2"/>
              <w:lang w:val="en-US"/>
              <w14:ligatures w14:val="standardContextual"/>
            </w:rPr>
          </w:pPr>
          <w:hyperlink w:anchor="_Toc184754758" w:history="1">
            <w:r w:rsidRPr="00862BA7">
              <w:rPr>
                <w:rStyle w:val="Hyperlink"/>
                <w:rFonts w:ascii="Symbol" w:hAnsi="Symbol"/>
              </w:rPr>
              <w:t></w:t>
            </w:r>
            <w:r>
              <w:rPr>
                <w:rFonts w:asciiTheme="minorHAnsi" w:eastAsiaTheme="minorEastAsia" w:hAnsiTheme="minorHAnsi" w:cstheme="minorBidi"/>
                <w:b w:val="0"/>
                <w:bCs w:val="0"/>
                <w:iCs w:val="0"/>
                <w:color w:val="auto"/>
                <w:kern w:val="2"/>
                <w:lang w:val="en-US"/>
                <w14:ligatures w14:val="standardContextual"/>
              </w:rPr>
              <w:tab/>
            </w:r>
            <w:r w:rsidRPr="00862BA7">
              <w:rPr>
                <w:rStyle w:val="Hyperlink"/>
              </w:rPr>
              <w:t>Strengthening ISACs and leveraging EU response mechanisms</w:t>
            </w:r>
            <w:r>
              <w:rPr>
                <w:webHidden/>
              </w:rPr>
              <w:tab/>
            </w:r>
            <w:r>
              <w:rPr>
                <w:webHidden/>
              </w:rPr>
              <w:fldChar w:fldCharType="begin"/>
            </w:r>
            <w:r>
              <w:rPr>
                <w:webHidden/>
              </w:rPr>
              <w:instrText xml:space="preserve"> PAGEREF _Toc184754758 \h </w:instrText>
            </w:r>
            <w:r>
              <w:rPr>
                <w:webHidden/>
              </w:rPr>
            </w:r>
            <w:r>
              <w:rPr>
                <w:webHidden/>
              </w:rPr>
              <w:fldChar w:fldCharType="separate"/>
            </w:r>
            <w:r>
              <w:rPr>
                <w:webHidden/>
              </w:rPr>
              <w:t>8</w:t>
            </w:r>
            <w:r>
              <w:rPr>
                <w:webHidden/>
              </w:rPr>
              <w:fldChar w:fldCharType="end"/>
            </w:r>
          </w:hyperlink>
        </w:p>
        <w:p w14:paraId="63B3B737" w14:textId="35E48C59" w:rsidR="008C6D58" w:rsidRDefault="008C6D58">
          <w:pPr>
            <w:pStyle w:val="TOC1"/>
            <w:rPr>
              <w:rFonts w:asciiTheme="minorHAnsi" w:eastAsiaTheme="minorEastAsia" w:hAnsiTheme="minorHAnsi" w:cstheme="minorBidi"/>
              <w:b w:val="0"/>
              <w:bCs w:val="0"/>
              <w:iCs w:val="0"/>
              <w:color w:val="auto"/>
              <w:kern w:val="2"/>
              <w:lang w:val="en-US"/>
              <w14:ligatures w14:val="standardContextual"/>
            </w:rPr>
          </w:pPr>
          <w:hyperlink w:anchor="_Toc184754759" w:history="1">
            <w:r w:rsidRPr="00862BA7">
              <w:rPr>
                <w:rStyle w:val="Hyperlink"/>
                <w:rFonts w:ascii="Symbol" w:hAnsi="Symbol"/>
              </w:rPr>
              <w:t></w:t>
            </w:r>
            <w:r>
              <w:rPr>
                <w:rFonts w:asciiTheme="minorHAnsi" w:eastAsiaTheme="minorEastAsia" w:hAnsiTheme="minorHAnsi" w:cstheme="minorBidi"/>
                <w:b w:val="0"/>
                <w:bCs w:val="0"/>
                <w:iCs w:val="0"/>
                <w:color w:val="auto"/>
                <w:kern w:val="2"/>
                <w:lang w:val="en-US"/>
                <w14:ligatures w14:val="standardContextual"/>
              </w:rPr>
              <w:tab/>
            </w:r>
            <w:r w:rsidRPr="00862BA7">
              <w:rPr>
                <w:rStyle w:val="Hyperlink"/>
              </w:rPr>
              <w:t>Guidelines for NIS2 Directive implementation in healthcare</w:t>
            </w:r>
            <w:r>
              <w:rPr>
                <w:webHidden/>
              </w:rPr>
              <w:tab/>
            </w:r>
            <w:r>
              <w:rPr>
                <w:webHidden/>
              </w:rPr>
              <w:fldChar w:fldCharType="begin"/>
            </w:r>
            <w:r>
              <w:rPr>
                <w:webHidden/>
              </w:rPr>
              <w:instrText xml:space="preserve"> PAGEREF _Toc184754759 \h </w:instrText>
            </w:r>
            <w:r>
              <w:rPr>
                <w:webHidden/>
              </w:rPr>
            </w:r>
            <w:r>
              <w:rPr>
                <w:webHidden/>
              </w:rPr>
              <w:fldChar w:fldCharType="separate"/>
            </w:r>
            <w:r>
              <w:rPr>
                <w:webHidden/>
              </w:rPr>
              <w:t>11</w:t>
            </w:r>
            <w:r>
              <w:rPr>
                <w:webHidden/>
              </w:rPr>
              <w:fldChar w:fldCharType="end"/>
            </w:r>
          </w:hyperlink>
        </w:p>
        <w:p w14:paraId="0088A302" w14:textId="560DD9B8" w:rsidR="008C6D58" w:rsidRDefault="008C6D58">
          <w:pPr>
            <w:pStyle w:val="TOC1"/>
            <w:rPr>
              <w:rFonts w:asciiTheme="minorHAnsi" w:eastAsiaTheme="minorEastAsia" w:hAnsiTheme="minorHAnsi" w:cstheme="minorBidi"/>
              <w:b w:val="0"/>
              <w:bCs w:val="0"/>
              <w:iCs w:val="0"/>
              <w:color w:val="auto"/>
              <w:kern w:val="2"/>
              <w:lang w:val="en-US"/>
              <w14:ligatures w14:val="standardContextual"/>
            </w:rPr>
          </w:pPr>
          <w:hyperlink w:anchor="_Toc184754760" w:history="1">
            <w:r w:rsidRPr="00862BA7">
              <w:rPr>
                <w:rStyle w:val="Hyperlink"/>
                <w:rFonts w:ascii="Symbol" w:hAnsi="Symbol"/>
              </w:rPr>
              <w:t></w:t>
            </w:r>
            <w:r>
              <w:rPr>
                <w:rFonts w:asciiTheme="minorHAnsi" w:eastAsiaTheme="minorEastAsia" w:hAnsiTheme="minorHAnsi" w:cstheme="minorBidi"/>
                <w:b w:val="0"/>
                <w:bCs w:val="0"/>
                <w:iCs w:val="0"/>
                <w:color w:val="auto"/>
                <w:kern w:val="2"/>
                <w:lang w:val="en-US"/>
                <w14:ligatures w14:val="standardContextual"/>
              </w:rPr>
              <w:tab/>
            </w:r>
            <w:r w:rsidRPr="00862BA7">
              <w:rPr>
                <w:rStyle w:val="Hyperlink"/>
                <w:shd w:val="clear" w:color="auto" w:fill="FFFFFF"/>
              </w:rPr>
              <w:t>Annex I: examples of successful cooperation through ISACs</w:t>
            </w:r>
            <w:r>
              <w:rPr>
                <w:webHidden/>
              </w:rPr>
              <w:tab/>
            </w:r>
            <w:r>
              <w:rPr>
                <w:webHidden/>
              </w:rPr>
              <w:fldChar w:fldCharType="begin"/>
            </w:r>
            <w:r>
              <w:rPr>
                <w:webHidden/>
              </w:rPr>
              <w:instrText xml:space="preserve"> PAGEREF _Toc184754760 \h </w:instrText>
            </w:r>
            <w:r>
              <w:rPr>
                <w:webHidden/>
              </w:rPr>
            </w:r>
            <w:r>
              <w:rPr>
                <w:webHidden/>
              </w:rPr>
              <w:fldChar w:fldCharType="separate"/>
            </w:r>
            <w:r>
              <w:rPr>
                <w:webHidden/>
              </w:rPr>
              <w:t>13</w:t>
            </w:r>
            <w:r>
              <w:rPr>
                <w:webHidden/>
              </w:rPr>
              <w:fldChar w:fldCharType="end"/>
            </w:r>
          </w:hyperlink>
        </w:p>
        <w:p w14:paraId="3C444B42" w14:textId="14E23808" w:rsidR="00495900" w:rsidRPr="00CA2A3E" w:rsidRDefault="00AA75F6" w:rsidP="00495900">
          <w:pPr>
            <w:rPr>
              <w:b/>
              <w:bCs/>
            </w:rPr>
          </w:pPr>
          <w:r w:rsidRPr="00CA2A3E">
            <w:rPr>
              <w:b/>
              <w:bCs/>
            </w:rPr>
            <w:fldChar w:fldCharType="end"/>
          </w:r>
        </w:p>
      </w:sdtContent>
    </w:sdt>
    <w:bookmarkStart w:id="4" w:name="_Toc7016672" w:displacedByCustomXml="prev"/>
    <w:p w14:paraId="2307F9BF" w14:textId="77777777" w:rsidR="00495900" w:rsidRPr="00CA2A3E" w:rsidRDefault="00495900">
      <w:pPr>
        <w:rPr>
          <w:b/>
          <w:color w:val="003DD6" w:themeColor="accent1"/>
          <w:sz w:val="32"/>
          <w:szCs w:val="32"/>
        </w:rPr>
      </w:pPr>
      <w:r w:rsidRPr="00CA2A3E">
        <w:br w:type="page"/>
      </w:r>
    </w:p>
    <w:p w14:paraId="2255E5DA" w14:textId="11BC1F7E" w:rsidR="00CB5F67" w:rsidRPr="00CA2A3E" w:rsidRDefault="00CB5F67" w:rsidP="00DD152D">
      <w:pPr>
        <w:pStyle w:val="Heading1"/>
      </w:pPr>
      <w:bookmarkStart w:id="5" w:name="_Toc184754739"/>
      <w:bookmarkStart w:id="6" w:name="_Toc184657716"/>
      <w:bookmarkStart w:id="7" w:name="_Toc7016673"/>
      <w:bookmarkEnd w:id="4"/>
      <w:r w:rsidRPr="00CA2A3E">
        <w:lastRenderedPageBreak/>
        <w:t>Embedding cyber resilience in healthcare supply chains</w:t>
      </w:r>
      <w:bookmarkEnd w:id="5"/>
      <w:bookmarkEnd w:id="6"/>
    </w:p>
    <w:p w14:paraId="6FE9EF54" w14:textId="26BB5B72" w:rsidR="00CB5F67" w:rsidRPr="009E639F" w:rsidRDefault="00CB5F67" w:rsidP="002534A8">
      <w:pPr>
        <w:pStyle w:val="Body"/>
      </w:pPr>
      <w:r w:rsidRPr="00CA2A3E">
        <w:t>In</w:t>
      </w:r>
      <w:r w:rsidRPr="009E639F">
        <w:t xml:space="preserve"> acute care environments</w:t>
      </w:r>
      <w:r w:rsidRPr="00CA2A3E">
        <w:t xml:space="preserve">, the challenge of maintaining cybersecurity is heightened by the catastrophic consequences of </w:t>
      </w:r>
      <w:r w:rsidRPr="009E639F">
        <w:t>system downtime</w:t>
      </w:r>
      <w:r w:rsidRPr="00CA2A3E">
        <w:t>. Many</w:t>
      </w:r>
      <w:r w:rsidRPr="009E639F">
        <w:t xml:space="preserve"> hospitals and healthcare providers </w:t>
      </w:r>
      <w:r w:rsidRPr="00CA2A3E">
        <w:t xml:space="preserve">continue to rely on </w:t>
      </w:r>
      <w:r w:rsidRPr="009E639F">
        <w:t>outdated medical devices and software</w:t>
      </w:r>
      <w:r w:rsidRPr="00CA2A3E">
        <w:t xml:space="preserve">, which </w:t>
      </w:r>
      <w:r w:rsidRPr="009E639F">
        <w:t xml:space="preserve">lack the </w:t>
      </w:r>
      <w:r w:rsidRPr="00CA2A3E">
        <w:t>advanced</w:t>
      </w:r>
      <w:r w:rsidRPr="009E639F">
        <w:t xml:space="preserve"> security features needed to </w:t>
      </w:r>
      <w:r w:rsidRPr="00CA2A3E">
        <w:t>withstand</w:t>
      </w:r>
      <w:r w:rsidRPr="009E639F">
        <w:t xml:space="preserve"> modern cyberattacks</w:t>
      </w:r>
      <w:r w:rsidRPr="00CA2A3E">
        <w:t xml:space="preserve">. Legacy solutions, whilst often indispensable for healthcare operations, become significant vulnerabilities </w:t>
      </w:r>
      <w:r w:rsidRPr="009E639F">
        <w:t xml:space="preserve">when they are no longer supported </w:t>
      </w:r>
      <w:r w:rsidRPr="00CA2A3E">
        <w:t>or maintained, exposing critical infrastructure to escalating risks</w:t>
      </w:r>
      <w:r w:rsidRPr="009E639F">
        <w:t>.</w:t>
      </w:r>
    </w:p>
    <w:p w14:paraId="7C8F6E83" w14:textId="16524BFB" w:rsidR="00CB5F67" w:rsidRPr="009E639F" w:rsidRDefault="00CB5F67" w:rsidP="00400B25">
      <w:pPr>
        <w:pStyle w:val="Body"/>
      </w:pPr>
      <w:r w:rsidRPr="00CA2A3E">
        <w:t>Hospitals</w:t>
      </w:r>
      <w:r w:rsidRPr="009E639F">
        <w:t>, healthcare providers</w:t>
      </w:r>
      <w:r w:rsidRPr="00CA2A3E">
        <w:t xml:space="preserve"> and </w:t>
      </w:r>
      <w:r w:rsidRPr="009E639F">
        <w:t xml:space="preserve">entities </w:t>
      </w:r>
      <w:r w:rsidRPr="00CA2A3E">
        <w:t>handling</w:t>
      </w:r>
      <w:r w:rsidRPr="009E639F">
        <w:t xml:space="preserve"> health data </w:t>
      </w:r>
      <w:r w:rsidRPr="00CA2A3E">
        <w:t xml:space="preserve">must regularly assess </w:t>
      </w:r>
      <w:r w:rsidRPr="009E639F">
        <w:t>the security status of their software and hardware</w:t>
      </w:r>
      <w:r w:rsidRPr="00CA2A3E">
        <w:t>, identifying vulnerabilities and obsolete systems. These evaluations should form the basis for implementing</w:t>
      </w:r>
      <w:r w:rsidRPr="009E639F">
        <w:t xml:space="preserve"> mitigation measures</w:t>
      </w:r>
      <w:r w:rsidRPr="00CA2A3E">
        <w:t>, such as upgrading systems or transitioning away from unsupported technologies.</w:t>
      </w:r>
      <w:r w:rsidRPr="009E639F">
        <w:t xml:space="preserve"> To </w:t>
      </w:r>
      <w:r w:rsidRPr="00CA2A3E">
        <w:t>support this process</w:t>
      </w:r>
      <w:r w:rsidRPr="009E639F">
        <w:t xml:space="preserve">, the Commission, Member States and national authorities </w:t>
      </w:r>
      <w:r w:rsidRPr="00CA2A3E">
        <w:t xml:space="preserve">must provide harmonised </w:t>
      </w:r>
      <w:r w:rsidRPr="009E639F">
        <w:t>guidelines</w:t>
      </w:r>
      <w:r w:rsidRPr="00CA2A3E">
        <w:t>, ensuring consistent assessment practices across healthcare systems</w:t>
      </w:r>
      <w:r w:rsidRPr="009E639F">
        <w:t>.</w:t>
      </w:r>
    </w:p>
    <w:p w14:paraId="0D60BF4B" w14:textId="0B3A1866" w:rsidR="00CB5F67" w:rsidRPr="00CA2A3E" w:rsidRDefault="00CB5F67" w:rsidP="00CB5F67">
      <w:pPr>
        <w:pStyle w:val="Heading2"/>
      </w:pPr>
      <w:bookmarkStart w:id="8" w:name="_Toc184754740"/>
      <w:r w:rsidRPr="00CA2A3E">
        <w:t>Mitigating legacy risks and transitioning to modern solutions</w:t>
      </w:r>
      <w:bookmarkEnd w:id="8"/>
    </w:p>
    <w:p w14:paraId="539762EE" w14:textId="7A98D76E" w:rsidR="00CB5F67" w:rsidRPr="009E639F" w:rsidRDefault="00CB5F67" w:rsidP="00400B25">
      <w:pPr>
        <w:pStyle w:val="Body"/>
      </w:pPr>
      <w:r w:rsidRPr="00CA2A3E">
        <w:t xml:space="preserve">Hospitals should prioritise addressing unsupported legacy technologies, focusing on upgrading systems where feasible or phasing them out of critical networks. Dedicated funding, drawn from national and EU sources, must be made available to facilitate these upgrades. Beyond immediate replacements, healthcare providers </w:t>
      </w:r>
      <w:r w:rsidRPr="009E639F">
        <w:t xml:space="preserve">should </w:t>
      </w:r>
      <w:r w:rsidRPr="00CA2A3E">
        <w:t xml:space="preserve">embrace a strategic </w:t>
      </w:r>
      <w:r w:rsidRPr="009E639F">
        <w:t>transition to innovative, secure</w:t>
      </w:r>
      <w:r w:rsidRPr="00CA2A3E">
        <w:t xml:space="preserve"> and</w:t>
      </w:r>
      <w:r w:rsidRPr="009E639F">
        <w:t xml:space="preserve"> scalable cloud-based solutions. </w:t>
      </w:r>
      <w:r w:rsidRPr="00CA2A3E">
        <w:t>Cloud infrastructure offers enhanced security,</w:t>
      </w:r>
      <w:r w:rsidRPr="009E639F">
        <w:t xml:space="preserve"> resilience and adaptability</w:t>
      </w:r>
      <w:r w:rsidRPr="00CA2A3E">
        <w:t>, helping mitigate cybersecurity concerns whilst improving patient care and operational efficiency. For example:</w:t>
      </w:r>
    </w:p>
    <w:p w14:paraId="33CE31C9" w14:textId="535DC113" w:rsidR="00CB5F67" w:rsidRPr="00CA2A3E" w:rsidRDefault="00CB5F67" w:rsidP="00CB5F67">
      <w:pPr>
        <w:pStyle w:val="Bulletpoint"/>
      </w:pPr>
      <w:r w:rsidRPr="00CA2A3E">
        <w:t>Transitioning high-risk legacy systems to cloud-based platforms can protect sensitive data, streamline healthcare workflows and address chronic staffing shortages by automating and optimising processes.</w:t>
      </w:r>
    </w:p>
    <w:p w14:paraId="2EB9DFA4" w14:textId="4AB8ED5A" w:rsidR="00CB5F67" w:rsidRPr="00CA2A3E" w:rsidRDefault="00CB5F67" w:rsidP="00CB5F67">
      <w:pPr>
        <w:pStyle w:val="Bulletpoint"/>
      </w:pPr>
      <w:r w:rsidRPr="00CA2A3E">
        <w:t>Advanced technologies like artificial intelligence (AI) can be integrated into security workflows to enhance risk mitigation and adapt to evolving threats.</w:t>
      </w:r>
    </w:p>
    <w:p w14:paraId="4E31E4AB" w14:textId="33993D6D" w:rsidR="00CB5F67" w:rsidRPr="00CA2A3E" w:rsidRDefault="00CB5F67" w:rsidP="00CB5F67">
      <w:pPr>
        <w:pStyle w:val="Heading2"/>
      </w:pPr>
      <w:bookmarkStart w:id="9" w:name="_Toc184754741"/>
      <w:r w:rsidRPr="00CA2A3E">
        <w:t>Creating</w:t>
      </w:r>
      <w:r w:rsidRPr="002534A8">
        <w:t xml:space="preserve"> a </w:t>
      </w:r>
      <w:r w:rsidR="008C6D58" w:rsidRPr="002534A8">
        <w:t>‘</w:t>
      </w:r>
      <w:r w:rsidRPr="002534A8">
        <w:t>ring of steel</w:t>
      </w:r>
      <w:r w:rsidR="008C6D58" w:rsidRPr="002534A8">
        <w:t>’</w:t>
      </w:r>
      <w:r w:rsidRPr="002534A8">
        <w:t xml:space="preserve"> around critical assets</w:t>
      </w:r>
      <w:bookmarkEnd w:id="9"/>
    </w:p>
    <w:p w14:paraId="5CB63284" w14:textId="6ED54A5D" w:rsidR="00CB5F67" w:rsidRPr="00CA2A3E" w:rsidRDefault="00CB5F67" w:rsidP="00CB5F67">
      <w:pPr>
        <w:pStyle w:val="Body"/>
      </w:pPr>
      <w:r w:rsidRPr="00CA2A3E">
        <w:t xml:space="preserve">Healthcare organisations must establish a </w:t>
      </w:r>
      <w:r w:rsidR="008C6D58">
        <w:t>‘</w:t>
      </w:r>
      <w:r w:rsidRPr="00CA2A3E">
        <w:t>ring of steel</w:t>
      </w:r>
      <w:r w:rsidR="008C6D58">
        <w:t>’</w:t>
      </w:r>
      <w:r w:rsidRPr="00CA2A3E">
        <w:t xml:space="preserve"> to protect critical assets, such as</w:t>
      </w:r>
      <w:r w:rsidRPr="009E639F">
        <w:t xml:space="preserve"> medical devices, </w:t>
      </w:r>
      <w:r w:rsidRPr="00CA2A3E">
        <w:t>electronic health records (</w:t>
      </w:r>
      <w:r w:rsidRPr="009E639F">
        <w:t>EHRs</w:t>
      </w:r>
      <w:r w:rsidRPr="00CA2A3E">
        <w:t xml:space="preserve">) and </w:t>
      </w:r>
      <w:r w:rsidRPr="00CA2A3E">
        <w:lastRenderedPageBreak/>
        <w:t>essential</w:t>
      </w:r>
      <w:r w:rsidRPr="009E639F">
        <w:t xml:space="preserve"> legacy systems</w:t>
      </w:r>
      <w:r w:rsidRPr="00CA2A3E">
        <w:t>. Although</w:t>
      </w:r>
      <w:r w:rsidRPr="009E639F">
        <w:t xml:space="preserve"> it </w:t>
      </w:r>
      <w:r w:rsidRPr="00CA2A3E">
        <w:t>may be impractical</w:t>
      </w:r>
      <w:r w:rsidRPr="009E639F">
        <w:t xml:space="preserve"> to fortify every asset to the highest degree, critical </w:t>
      </w:r>
      <w:r w:rsidRPr="00CA2A3E">
        <w:t>systems warrant</w:t>
      </w:r>
      <w:r w:rsidRPr="009E639F">
        <w:t xml:space="preserve"> enhanced protection </w:t>
      </w:r>
      <w:r w:rsidRPr="00CA2A3E">
        <w:t>due to</w:t>
      </w:r>
      <w:r w:rsidRPr="009E639F">
        <w:t xml:space="preserve"> their </w:t>
      </w:r>
      <w:r w:rsidRPr="00CA2A3E">
        <w:t>potential</w:t>
      </w:r>
      <w:r w:rsidRPr="009E639F">
        <w:t xml:space="preserve"> impact </w:t>
      </w:r>
      <w:r w:rsidRPr="00CA2A3E">
        <w:t xml:space="preserve">on </w:t>
      </w:r>
      <w:r w:rsidRPr="009E639F">
        <w:t xml:space="preserve">patient safety and </w:t>
      </w:r>
      <w:r w:rsidRPr="00CA2A3E">
        <w:t>overall</w:t>
      </w:r>
      <w:r w:rsidRPr="009E639F">
        <w:t xml:space="preserve"> system </w:t>
      </w:r>
      <w:r w:rsidRPr="00CA2A3E">
        <w:t>integrity</w:t>
      </w:r>
      <w:r w:rsidRPr="009E639F">
        <w:t xml:space="preserve">. Security measures should be </w:t>
      </w:r>
      <w:r w:rsidRPr="00CA2A3E">
        <w:t xml:space="preserve">tailored to safeguard these assets whilst ensuring the seamless operation of </w:t>
      </w:r>
      <w:r w:rsidRPr="009E639F">
        <w:t xml:space="preserve">healthcare </w:t>
      </w:r>
      <w:r w:rsidRPr="00CA2A3E">
        <w:t xml:space="preserve">workflows and system </w:t>
      </w:r>
      <w:r w:rsidRPr="009E639F">
        <w:t>interoperability</w:t>
      </w:r>
      <w:r w:rsidRPr="00CA2A3E">
        <w:t>.</w:t>
      </w:r>
    </w:p>
    <w:p w14:paraId="54BCD0F7" w14:textId="79DAC014" w:rsidR="00CB5F67" w:rsidRPr="009E639F" w:rsidRDefault="00CB5F67" w:rsidP="002534A8">
      <w:pPr>
        <w:pStyle w:val="Body"/>
      </w:pPr>
      <w:r w:rsidRPr="00CA2A3E">
        <w:t>In alignment</w:t>
      </w:r>
      <w:r w:rsidRPr="009E639F">
        <w:t xml:space="preserve"> with the Resilience of Critical Entities Directive, Member States </w:t>
      </w:r>
      <w:r w:rsidRPr="00CA2A3E">
        <w:t>should</w:t>
      </w:r>
      <w:r w:rsidRPr="009E639F">
        <w:t xml:space="preserve"> actively support </w:t>
      </w:r>
      <w:r w:rsidRPr="00CA2A3E">
        <w:t xml:space="preserve">healthcare organisations by developing guidance materials, conducting resilience exercises and offering training programmes. These measures will ensure that </w:t>
      </w:r>
      <w:r w:rsidRPr="009E639F">
        <w:t xml:space="preserve">critical entities </w:t>
      </w:r>
      <w:r w:rsidRPr="00CA2A3E">
        <w:t>are prepared to respond effectively to threats, whether they arise from cyberattacks or other sources.</w:t>
      </w:r>
    </w:p>
    <w:p w14:paraId="00677104" w14:textId="5807C250" w:rsidR="00CB5F67" w:rsidRPr="00CA2A3E" w:rsidRDefault="00CB5F67" w:rsidP="00CB5F67">
      <w:pPr>
        <w:pStyle w:val="Heading2"/>
      </w:pPr>
      <w:bookmarkStart w:id="10" w:name="_Toc184754742"/>
      <w:r w:rsidRPr="00CA2A3E">
        <w:t>Strengthening cybersecurity in procurement</w:t>
      </w:r>
      <w:bookmarkEnd w:id="10"/>
    </w:p>
    <w:p w14:paraId="1B6768FE" w14:textId="669E2969" w:rsidR="00CB5F67" w:rsidRPr="009E639F" w:rsidRDefault="00CB5F67" w:rsidP="002534A8">
      <w:pPr>
        <w:pStyle w:val="Body"/>
      </w:pPr>
      <w:r w:rsidRPr="00CA2A3E">
        <w:t>To</w:t>
      </w:r>
      <w:r w:rsidRPr="009E639F">
        <w:t xml:space="preserve"> embed cybersecurity </w:t>
      </w:r>
      <w:r w:rsidRPr="00CA2A3E">
        <w:t xml:space="preserve">into </w:t>
      </w:r>
      <w:r w:rsidRPr="009E639F">
        <w:t xml:space="preserve">healthcare </w:t>
      </w:r>
      <w:r w:rsidRPr="00CA2A3E">
        <w:t>systems,</w:t>
      </w:r>
      <w:r w:rsidRPr="009E639F">
        <w:t xml:space="preserve"> procurement processes </w:t>
      </w:r>
      <w:r w:rsidRPr="00CA2A3E">
        <w:t>must be aligned with security standards. The Commission should issue updated guidelines requiring</w:t>
      </w:r>
      <w:r w:rsidRPr="009E639F">
        <w:t xml:space="preserve"> suppliers </w:t>
      </w:r>
      <w:r w:rsidRPr="00CA2A3E">
        <w:t xml:space="preserve">to </w:t>
      </w:r>
      <w:r w:rsidRPr="009E639F">
        <w:t xml:space="preserve">demonstrate compliance with cybersecurity </w:t>
      </w:r>
      <w:r w:rsidRPr="00CA2A3E">
        <w:t>benchmarks as a prerequisite for participation in procurement tenders. This step would ensure that newly acquired technologies meet robust security criteria, reducing risks from the outset</w:t>
      </w:r>
      <w:r w:rsidRPr="009E639F">
        <w:t>.</w:t>
      </w:r>
    </w:p>
    <w:p w14:paraId="01628D6B" w14:textId="17F90445" w:rsidR="00CB5F67" w:rsidRPr="00CA2A3E" w:rsidRDefault="00CB5F67" w:rsidP="000D2037">
      <w:pPr>
        <w:pStyle w:val="Heading2"/>
      </w:pPr>
      <w:bookmarkStart w:id="11" w:name="_Toc184754744"/>
      <w:r w:rsidRPr="00CA2A3E">
        <w:t xml:space="preserve">Developing </w:t>
      </w:r>
      <w:r w:rsidR="000D2037" w:rsidRPr="00CA2A3E">
        <w:t>digital resilience action plans</w:t>
      </w:r>
      <w:bookmarkEnd w:id="11"/>
    </w:p>
    <w:p w14:paraId="3CD7E025" w14:textId="6520517E" w:rsidR="00CB5F67" w:rsidRPr="009E639F" w:rsidRDefault="00CB5F67" w:rsidP="002534A8">
      <w:pPr>
        <w:pStyle w:val="Body"/>
      </w:pPr>
      <w:r w:rsidRPr="009E639F">
        <w:t xml:space="preserve">Building on </w:t>
      </w:r>
      <w:r w:rsidRPr="00CA2A3E">
        <w:t>best practices from sectors like</w:t>
      </w:r>
      <w:r w:rsidRPr="009E639F">
        <w:t xml:space="preserve"> financial services, European governments should encourage hospitals and healthcare providers to </w:t>
      </w:r>
      <w:r w:rsidRPr="00CA2A3E">
        <w:t>adopt comprehensive</w:t>
      </w:r>
      <w:r w:rsidRPr="009E639F">
        <w:t xml:space="preserve"> digital resilience action plans</w:t>
      </w:r>
      <w:r w:rsidRPr="00CA2A3E">
        <w:t>. These plans</w:t>
      </w:r>
      <w:r w:rsidRPr="009E639F">
        <w:t xml:space="preserve"> should </w:t>
      </w:r>
      <w:r w:rsidRPr="00CA2A3E">
        <w:t>encompass:</w:t>
      </w:r>
    </w:p>
    <w:p w14:paraId="677BD24A" w14:textId="01645853" w:rsidR="000D2037" w:rsidRPr="00CA2A3E" w:rsidRDefault="00CB5F67" w:rsidP="00CB5F67">
      <w:pPr>
        <w:pStyle w:val="Bulletpoint"/>
      </w:pPr>
      <w:r w:rsidRPr="00CA2A3E">
        <w:t>ICT risk-management measures: Strategies to identify, assess and mitigate risks across IT systems.</w:t>
      </w:r>
    </w:p>
    <w:p w14:paraId="29461A1B" w14:textId="77777777" w:rsidR="000D2037" w:rsidRPr="00CA2A3E" w:rsidRDefault="00CB5F67" w:rsidP="00CB5F67">
      <w:pPr>
        <w:pStyle w:val="Bulletpoint"/>
      </w:pPr>
      <w:r w:rsidRPr="00CA2A3E">
        <w:t>Resilience testing: Regular evaluations of system robustness against potential disruptions, including cyberattacks and IT outages.</w:t>
      </w:r>
    </w:p>
    <w:p w14:paraId="4D236020" w14:textId="05A6A53B" w:rsidR="00CB5F67" w:rsidRPr="00CA2A3E" w:rsidRDefault="00CB5F67" w:rsidP="00CB5F67">
      <w:pPr>
        <w:pStyle w:val="Bulletpoint"/>
      </w:pPr>
      <w:r w:rsidRPr="00CA2A3E">
        <w:t>Third-party risk management: Measures to secure supply chains and vendor relationships, addressing vulnerabilities that extend beyond the organi</w:t>
      </w:r>
      <w:r w:rsidR="000D2037" w:rsidRPr="00CA2A3E">
        <w:t>s</w:t>
      </w:r>
      <w:r w:rsidRPr="00CA2A3E">
        <w:t>ation.</w:t>
      </w:r>
    </w:p>
    <w:p w14:paraId="17411066" w14:textId="23E34876" w:rsidR="009067A0" w:rsidRPr="00CA2A3E" w:rsidRDefault="009067A0" w:rsidP="002534A8">
      <w:pPr>
        <w:pStyle w:val="Heading1"/>
      </w:pPr>
      <w:bookmarkStart w:id="12" w:name="_Toc184754745"/>
      <w:bookmarkStart w:id="13" w:name="_Toc184657717"/>
      <w:r w:rsidRPr="00CA2A3E">
        <w:t>Dedicated funding and skills development</w:t>
      </w:r>
      <w:bookmarkEnd w:id="12"/>
      <w:bookmarkEnd w:id="13"/>
    </w:p>
    <w:p w14:paraId="10AB021D" w14:textId="293424AD" w:rsidR="009067A0" w:rsidRPr="00CA2A3E" w:rsidRDefault="009067A0" w:rsidP="009067A0">
      <w:pPr>
        <w:pStyle w:val="Body"/>
      </w:pPr>
      <w:r w:rsidRPr="009E639F">
        <w:t xml:space="preserve">Tight budgets, acute workforce shortages and </w:t>
      </w:r>
      <w:r w:rsidRPr="00CA2A3E">
        <w:t xml:space="preserve">a </w:t>
      </w:r>
      <w:r w:rsidRPr="009E639F">
        <w:t xml:space="preserve">lack of </w:t>
      </w:r>
      <w:r w:rsidRPr="00CA2A3E">
        <w:t xml:space="preserve">specialised </w:t>
      </w:r>
      <w:r w:rsidRPr="009E639F">
        <w:t xml:space="preserve">skills </w:t>
      </w:r>
      <w:r w:rsidRPr="00CA2A3E">
        <w:t xml:space="preserve">remain significant </w:t>
      </w:r>
      <w:r w:rsidRPr="009E639F">
        <w:t xml:space="preserve">barriers </w:t>
      </w:r>
      <w:r w:rsidRPr="00CA2A3E">
        <w:t>preventing</w:t>
      </w:r>
      <w:r w:rsidRPr="009E639F">
        <w:t xml:space="preserve"> European</w:t>
      </w:r>
      <w:r w:rsidRPr="00CA2A3E">
        <w:t xml:space="preserve"> hospitals and healthcare providers from adequately addressing cybersecurity threats.</w:t>
      </w:r>
    </w:p>
    <w:p w14:paraId="2C06AB71" w14:textId="6EF03841" w:rsidR="009067A0" w:rsidRPr="00CA2A3E" w:rsidRDefault="009067A0" w:rsidP="009067A0">
      <w:pPr>
        <w:pStyle w:val="Body"/>
      </w:pPr>
      <w:r w:rsidRPr="00CA2A3E">
        <w:t xml:space="preserve">These constraints hinder the recruitment and retention of skilled cybersecurity personnel, as hospitals are often unable to offer competitive remuneration due to financial limitations. Compliance with EU legislation, staff training and </w:t>
      </w:r>
      <w:r w:rsidRPr="00CA2A3E">
        <w:lastRenderedPageBreak/>
        <w:t>system updates require substantial investments, placing further strain on already stretched resources.</w:t>
      </w:r>
    </w:p>
    <w:p w14:paraId="361EE4A9" w14:textId="0FFA5B18" w:rsidR="009067A0" w:rsidRPr="00CA2A3E" w:rsidRDefault="009067A0" w:rsidP="009067A0">
      <w:pPr>
        <w:pStyle w:val="Body"/>
      </w:pPr>
      <w:r w:rsidRPr="00CA2A3E">
        <w:t>Addressing these challenges necessitates a targeted approach that prioritises funding and skills development to fortify the sector</w:t>
      </w:r>
      <w:r w:rsidR="008C6D58">
        <w:t>’</w:t>
      </w:r>
      <w:r w:rsidRPr="00CA2A3E">
        <w:t>s cyber resilience.</w:t>
      </w:r>
    </w:p>
    <w:p w14:paraId="070CBC74" w14:textId="414625CC" w:rsidR="009067A0" w:rsidRPr="00CA2A3E" w:rsidRDefault="009067A0" w:rsidP="007A6CA7">
      <w:pPr>
        <w:pStyle w:val="Heading2"/>
      </w:pPr>
      <w:bookmarkStart w:id="14" w:name="_Toc184754746"/>
      <w:r w:rsidRPr="00CA2A3E">
        <w:t xml:space="preserve">Building a </w:t>
      </w:r>
      <w:r w:rsidR="007A6CA7" w:rsidRPr="00CA2A3E">
        <w:t>robust funding framework</w:t>
      </w:r>
      <w:bookmarkEnd w:id="14"/>
    </w:p>
    <w:p w14:paraId="0EA65B8D" w14:textId="4905914C" w:rsidR="009067A0" w:rsidRPr="009E639F" w:rsidRDefault="009067A0" w:rsidP="002534A8">
      <w:pPr>
        <w:pStyle w:val="Body"/>
      </w:pPr>
      <w:r w:rsidRPr="00CA2A3E">
        <w:t xml:space="preserve">Ensuring adequate funding is a cornerstone of improving healthcare cybersecurity. </w:t>
      </w:r>
      <w:r w:rsidR="007A6CA7" w:rsidRPr="00CA2A3E">
        <w:t>There must be</w:t>
      </w:r>
      <w:r w:rsidRPr="00CA2A3E">
        <w:t xml:space="preserve"> dedicated financial support at both national and EU levels to bolster the cybersecurity readiness of</w:t>
      </w:r>
      <w:r w:rsidRPr="009E639F">
        <w:t xml:space="preserve"> hospitals and healthcare providers</w:t>
      </w:r>
      <w:r w:rsidRPr="00CA2A3E">
        <w:t>.</w:t>
      </w:r>
    </w:p>
    <w:p w14:paraId="6783D181" w14:textId="067675AF" w:rsidR="007A6CA7" w:rsidRPr="002534A8" w:rsidRDefault="009067A0" w:rsidP="002534A8">
      <w:pPr>
        <w:pStyle w:val="Heading3"/>
        <w:rPr>
          <w:b w:val="0"/>
        </w:rPr>
      </w:pPr>
      <w:bookmarkStart w:id="15" w:name="_Toc184754747"/>
      <w:r w:rsidRPr="00CA2A3E">
        <w:t>National</w:t>
      </w:r>
      <w:r w:rsidRPr="002534A8">
        <w:t xml:space="preserve"> </w:t>
      </w:r>
      <w:r w:rsidR="007A6CA7" w:rsidRPr="002534A8">
        <w:t xml:space="preserve">funding </w:t>
      </w:r>
      <w:r w:rsidR="007A6CA7" w:rsidRPr="00CA2A3E">
        <w:t>initiatives</w:t>
      </w:r>
      <w:bookmarkEnd w:id="15"/>
    </w:p>
    <w:p w14:paraId="6DC53342" w14:textId="63584610" w:rsidR="009067A0" w:rsidRPr="009E639F" w:rsidRDefault="009067A0" w:rsidP="002534A8">
      <w:pPr>
        <w:pStyle w:val="Body"/>
      </w:pPr>
      <w:r w:rsidRPr="009E639F">
        <w:t xml:space="preserve">Member States </w:t>
      </w:r>
      <w:r w:rsidRPr="00CA2A3E">
        <w:t>must</w:t>
      </w:r>
      <w:r w:rsidRPr="009E639F">
        <w:t xml:space="preserve"> allocate funding at the</w:t>
      </w:r>
      <w:r w:rsidRPr="00CA2A3E">
        <w:t xml:space="preserve"> </w:t>
      </w:r>
      <w:r w:rsidRPr="009E639F">
        <w:t xml:space="preserve">national level </w:t>
      </w:r>
      <w:r w:rsidRPr="00CA2A3E">
        <w:t>to enhance</w:t>
      </w:r>
      <w:r w:rsidRPr="009E639F">
        <w:t xml:space="preserve"> the cybersecurity and resilience of healthcare </w:t>
      </w:r>
      <w:r w:rsidRPr="00CA2A3E">
        <w:t>systems. France</w:t>
      </w:r>
      <w:r w:rsidR="008C6D58">
        <w:t>’</w:t>
      </w:r>
      <w:r w:rsidRPr="00CA2A3E">
        <w:t>s €750 million program</w:t>
      </w:r>
      <w:r w:rsidR="007A6CA7" w:rsidRPr="00CA2A3E">
        <w:t>me</w:t>
      </w:r>
      <w:r w:rsidRPr="00CA2A3E">
        <w:t xml:space="preserve"> launched </w:t>
      </w:r>
      <w:r w:rsidRPr="009E639F">
        <w:t xml:space="preserve">in December 2023 </w:t>
      </w:r>
      <w:r w:rsidRPr="00CA2A3E">
        <w:t>serves as an exemplary model, demonstrating how strategic financial commitments can drive systemic improvements.</w:t>
      </w:r>
      <w:r w:rsidR="007A6CA7" w:rsidRPr="00CA2A3E">
        <w:rPr>
          <w:rStyle w:val="FootnoteReference"/>
        </w:rPr>
        <w:footnoteReference w:id="4"/>
      </w:r>
      <w:r w:rsidRPr="00CA2A3E">
        <w:t xml:space="preserve"> Similar program</w:t>
      </w:r>
      <w:r w:rsidR="007A6CA7" w:rsidRPr="00CA2A3E">
        <w:t>me</w:t>
      </w:r>
      <w:r w:rsidRPr="00CA2A3E">
        <w:t xml:space="preserve">s across Member States could provide the necessary resources </w:t>
      </w:r>
      <w:r w:rsidRPr="009E639F">
        <w:t xml:space="preserve">for cybersecurity </w:t>
      </w:r>
      <w:r w:rsidRPr="00CA2A3E">
        <w:t>advancements.</w:t>
      </w:r>
    </w:p>
    <w:p w14:paraId="2C1D30DC" w14:textId="77956B53" w:rsidR="009067A0" w:rsidRPr="00CA2A3E" w:rsidRDefault="009067A0" w:rsidP="00786180">
      <w:pPr>
        <w:pStyle w:val="Heading3"/>
      </w:pPr>
      <w:bookmarkStart w:id="16" w:name="_Toc184754748"/>
      <w:r w:rsidRPr="002534A8">
        <w:t>EU</w:t>
      </w:r>
      <w:r w:rsidRPr="00CA2A3E">
        <w:t>-</w:t>
      </w:r>
      <w:r w:rsidR="00786180" w:rsidRPr="002534A8">
        <w:t>level</w:t>
      </w:r>
      <w:r w:rsidR="00786180" w:rsidRPr="00CA2A3E">
        <w:t xml:space="preserve"> financial support</w:t>
      </w:r>
      <w:bookmarkEnd w:id="16"/>
    </w:p>
    <w:p w14:paraId="76E82429" w14:textId="0AF1799F" w:rsidR="009067A0" w:rsidRPr="00CA2A3E" w:rsidRDefault="009067A0" w:rsidP="009067A0">
      <w:pPr>
        <w:pStyle w:val="Body"/>
      </w:pPr>
      <w:r w:rsidRPr="00CA2A3E">
        <w:t>Leveraging EU</w:t>
      </w:r>
      <w:r w:rsidRPr="009E639F">
        <w:t xml:space="preserve"> mechanisms </w:t>
      </w:r>
      <w:r w:rsidRPr="00CA2A3E">
        <w:t xml:space="preserve">such as the </w:t>
      </w:r>
      <w:r w:rsidRPr="009E639F">
        <w:t>Digital Europe Programme, EU4Health</w:t>
      </w:r>
      <w:r w:rsidRPr="00CA2A3E">
        <w:t xml:space="preserve"> and</w:t>
      </w:r>
      <w:r w:rsidRPr="009E639F">
        <w:t xml:space="preserve"> European Structural and Investment Funds </w:t>
      </w:r>
      <w:r w:rsidRPr="00CA2A3E">
        <w:t>is critical</w:t>
      </w:r>
      <w:r w:rsidRPr="009E639F">
        <w:t xml:space="preserve"> to </w:t>
      </w:r>
      <w:r w:rsidRPr="00CA2A3E">
        <w:t xml:space="preserve">ensuring comprehensive </w:t>
      </w:r>
      <w:r w:rsidRPr="009E639F">
        <w:t xml:space="preserve">support across </w:t>
      </w:r>
      <w:r w:rsidRPr="00CA2A3E">
        <w:t>Member States. These funds should focus on:</w:t>
      </w:r>
    </w:p>
    <w:p w14:paraId="405F19D8" w14:textId="083B02DF" w:rsidR="007176D3" w:rsidRPr="000A66C7" w:rsidRDefault="009067A0" w:rsidP="000A66C7">
      <w:pPr>
        <w:pStyle w:val="Bulletpoint"/>
      </w:pPr>
      <w:r w:rsidRPr="000A66C7">
        <w:t>Increasing capacity, capability, expertise and awareness in cybersecurity among</w:t>
      </w:r>
      <w:r w:rsidR="007176D3" w:rsidRPr="000A66C7">
        <w:t>st</w:t>
      </w:r>
      <w:r w:rsidRPr="000A66C7">
        <w:t xml:space="preserve"> healthcare authorities, hospitals and </w:t>
      </w:r>
      <w:proofErr w:type="gramStart"/>
      <w:r w:rsidRPr="000A66C7">
        <w:t>providers</w:t>
      </w:r>
      <w:r w:rsidR="007176D3" w:rsidRPr="000A66C7">
        <w:t>;</w:t>
      </w:r>
      <w:proofErr w:type="gramEnd"/>
    </w:p>
    <w:p w14:paraId="6F0336A4" w14:textId="159F6055" w:rsidR="007176D3" w:rsidRPr="000A66C7" w:rsidRDefault="009067A0" w:rsidP="000A66C7">
      <w:pPr>
        <w:pStyle w:val="Bulletpoint"/>
      </w:pPr>
      <w:r w:rsidRPr="000A66C7">
        <w:t xml:space="preserve">Implementing skills development and upskilling initiatives to address workforce </w:t>
      </w:r>
      <w:proofErr w:type="gramStart"/>
      <w:r w:rsidRPr="000A66C7">
        <w:t>shortages</w:t>
      </w:r>
      <w:r w:rsidR="007176D3" w:rsidRPr="000A66C7">
        <w:t>;</w:t>
      </w:r>
      <w:proofErr w:type="gramEnd"/>
    </w:p>
    <w:p w14:paraId="00B1741F" w14:textId="0C2C171E" w:rsidR="007176D3" w:rsidRPr="000A66C7" w:rsidRDefault="009067A0" w:rsidP="000A66C7">
      <w:pPr>
        <w:pStyle w:val="Bulletpoint"/>
      </w:pPr>
      <w:r w:rsidRPr="000A66C7">
        <w:t>Launching awareness campaigns to educate stakeholders on the NIS2 Directive and the requirements for essential entities</w:t>
      </w:r>
      <w:r w:rsidR="007176D3" w:rsidRPr="000A66C7">
        <w:t>;</w:t>
      </w:r>
      <w:r w:rsidR="00A04831">
        <w:rPr>
          <w:rStyle w:val="FootnoteReference"/>
        </w:rPr>
        <w:footnoteReference w:id="5"/>
      </w:r>
    </w:p>
    <w:p w14:paraId="2C2F1F6D" w14:textId="7132FE2E" w:rsidR="00746F52" w:rsidRPr="000A66C7" w:rsidRDefault="009067A0" w:rsidP="000A66C7">
      <w:pPr>
        <w:pStyle w:val="Bulletpoint"/>
      </w:pPr>
      <w:r w:rsidRPr="000A66C7">
        <w:t>Supporting public-private partnerships like ISACs</w:t>
      </w:r>
      <w:r w:rsidR="00746F52" w:rsidRPr="000A66C7">
        <w:t>; and</w:t>
      </w:r>
    </w:p>
    <w:p w14:paraId="05B91EB2" w14:textId="23093FE2" w:rsidR="009067A0" w:rsidRPr="000A66C7" w:rsidRDefault="009067A0" w:rsidP="000A66C7">
      <w:pPr>
        <w:pStyle w:val="Bulletpoint"/>
      </w:pPr>
      <w:r w:rsidRPr="000A66C7">
        <w:lastRenderedPageBreak/>
        <w:t>Establishing speciali</w:t>
      </w:r>
      <w:r w:rsidR="00746F52" w:rsidRPr="000A66C7">
        <w:t>s</w:t>
      </w:r>
      <w:r w:rsidRPr="000A66C7">
        <w:t>ed cybersecurity program</w:t>
      </w:r>
      <w:r w:rsidR="00746F52" w:rsidRPr="000A66C7">
        <w:t>me</w:t>
      </w:r>
      <w:r w:rsidRPr="000A66C7">
        <w:t>s tailored to procurement teams and other relevant stakeholders.</w:t>
      </w:r>
    </w:p>
    <w:p w14:paraId="5AFF31AE" w14:textId="3B592370" w:rsidR="009067A0" w:rsidRPr="00CA2A3E" w:rsidRDefault="009067A0" w:rsidP="00746F52">
      <w:pPr>
        <w:pStyle w:val="Heading3"/>
      </w:pPr>
      <w:bookmarkStart w:id="17" w:name="_Toc184754749"/>
      <w:r w:rsidRPr="00CA2A3E">
        <w:t xml:space="preserve">Budget </w:t>
      </w:r>
      <w:r w:rsidR="00746F52" w:rsidRPr="00CA2A3E">
        <w:t>thresholds</w:t>
      </w:r>
      <w:r w:rsidR="00746F52" w:rsidRPr="002534A8">
        <w:t xml:space="preserve"> for healthcare institutions</w:t>
      </w:r>
      <w:bookmarkEnd w:id="17"/>
    </w:p>
    <w:p w14:paraId="2C1E6607" w14:textId="20CC1935" w:rsidR="009067A0" w:rsidRPr="009E639F" w:rsidRDefault="009067A0" w:rsidP="002534A8">
      <w:pPr>
        <w:pStyle w:val="Body"/>
      </w:pPr>
      <w:r w:rsidRPr="00CA2A3E">
        <w:t>A</w:t>
      </w:r>
      <w:r w:rsidRPr="009E639F">
        <w:t xml:space="preserve"> proportional </w:t>
      </w:r>
      <w:r w:rsidRPr="00CA2A3E">
        <w:t>allocation of budgets for cybersecurity, based on each institution</w:t>
      </w:r>
      <w:r w:rsidR="008C6D58">
        <w:t>’</w:t>
      </w:r>
      <w:r w:rsidRPr="00CA2A3E">
        <w:t>s</w:t>
      </w:r>
      <w:r w:rsidRPr="009E639F">
        <w:t xml:space="preserve"> level of digital transformation</w:t>
      </w:r>
      <w:r w:rsidRPr="00CA2A3E">
        <w:t>, should be recommended. For instance, a minimum of 10</w:t>
      </w:r>
      <w:r w:rsidR="00746F52" w:rsidRPr="00CA2A3E">
        <w:t xml:space="preserve"> per cent</w:t>
      </w:r>
      <w:r w:rsidRPr="009E639F">
        <w:t xml:space="preserve"> of the IT or digital transformation budget should be </w:t>
      </w:r>
      <w:r w:rsidRPr="00CA2A3E">
        <w:t>designated for cybersecurity, independent of</w:t>
      </w:r>
      <w:r w:rsidRPr="009E639F">
        <w:t xml:space="preserve"> clinical resources.</w:t>
      </w:r>
    </w:p>
    <w:p w14:paraId="253CED31" w14:textId="7E2AFA05" w:rsidR="009067A0" w:rsidRPr="00CA2A3E" w:rsidRDefault="009067A0" w:rsidP="00746F52">
      <w:pPr>
        <w:pStyle w:val="Heading3"/>
      </w:pPr>
      <w:bookmarkStart w:id="18" w:name="_Toc184754750"/>
      <w:r w:rsidRPr="00CA2A3E">
        <w:t xml:space="preserve">Incentives for </w:t>
      </w:r>
      <w:r w:rsidR="00746F52" w:rsidRPr="00CA2A3E">
        <w:t>cybersecurity investments</w:t>
      </w:r>
      <w:bookmarkEnd w:id="18"/>
    </w:p>
    <w:p w14:paraId="2D6431B1" w14:textId="23C2B22F" w:rsidR="009067A0" w:rsidRPr="002534A8" w:rsidRDefault="009067A0" w:rsidP="002534A8">
      <w:pPr>
        <w:pStyle w:val="Body"/>
      </w:pPr>
      <w:r w:rsidRPr="00CA2A3E">
        <w:t>To</w:t>
      </w:r>
      <w:r w:rsidRPr="009E639F">
        <w:t xml:space="preserve"> encourage </w:t>
      </w:r>
      <w:r w:rsidRPr="00CA2A3E">
        <w:t>healthcare</w:t>
      </w:r>
      <w:r w:rsidRPr="009E639F">
        <w:t xml:space="preserve"> organi</w:t>
      </w:r>
      <w:r w:rsidR="00746F52" w:rsidRPr="009E639F">
        <w:t>s</w:t>
      </w:r>
      <w:r w:rsidRPr="009E639F">
        <w:t>ations to prioriti</w:t>
      </w:r>
      <w:r w:rsidR="00746F52" w:rsidRPr="009E639F">
        <w:t>s</w:t>
      </w:r>
      <w:r w:rsidRPr="009E639F">
        <w:t>e cybersecurity</w:t>
      </w:r>
      <w:r w:rsidRPr="00CA2A3E">
        <w:t>, Member States should explore financial incentives. These could include grants, tax benefits or subsidies that recogni</w:t>
      </w:r>
      <w:r w:rsidR="00746F52" w:rsidRPr="00CA2A3E">
        <w:t>s</w:t>
      </w:r>
      <w:r w:rsidRPr="00CA2A3E">
        <w:t>e the</w:t>
      </w:r>
      <w:r w:rsidRPr="009E639F">
        <w:t xml:space="preserve"> difficult spending </w:t>
      </w:r>
      <w:r w:rsidRPr="002534A8">
        <w:t xml:space="preserve">trade-offs </w:t>
      </w:r>
      <w:r w:rsidRPr="00CA2A3E">
        <w:t>healthcare providers</w:t>
      </w:r>
      <w:r w:rsidRPr="002534A8">
        <w:t xml:space="preserve"> face.</w:t>
      </w:r>
    </w:p>
    <w:p w14:paraId="77727E0C" w14:textId="7F3A6912" w:rsidR="009067A0" w:rsidRPr="00CA2A3E" w:rsidRDefault="009067A0" w:rsidP="00746F52">
      <w:pPr>
        <w:pStyle w:val="Heading3"/>
      </w:pPr>
      <w:bookmarkStart w:id="19" w:name="_Toc184754751"/>
      <w:r w:rsidRPr="00CA2A3E">
        <w:t xml:space="preserve">Investment in </w:t>
      </w:r>
      <w:r w:rsidR="00746F52" w:rsidRPr="00CA2A3E">
        <w:t>cybersecurity research</w:t>
      </w:r>
      <w:bookmarkEnd w:id="19"/>
    </w:p>
    <w:p w14:paraId="7E5A7D47" w14:textId="1407C8C0" w:rsidR="009067A0" w:rsidRPr="002534A8" w:rsidRDefault="009067A0" w:rsidP="002534A8">
      <w:pPr>
        <w:pStyle w:val="Body"/>
      </w:pPr>
      <w:r w:rsidRPr="00CA2A3E">
        <w:t xml:space="preserve">Collaboration </w:t>
      </w:r>
      <w:r w:rsidRPr="002534A8">
        <w:t xml:space="preserve">with academia and industry </w:t>
      </w:r>
      <w:r w:rsidRPr="00CA2A3E">
        <w:t>is essential to foster</w:t>
      </w:r>
      <w:r w:rsidRPr="002534A8">
        <w:t xml:space="preserve"> dedicated research into </w:t>
      </w:r>
      <w:r w:rsidRPr="00CA2A3E">
        <w:t xml:space="preserve">healthcare cybersecurity. Establishing and funding research partnerships would contribute to innovative solutions and advanced </w:t>
      </w:r>
      <w:r w:rsidR="00746F52" w:rsidRPr="00CA2A3E">
        <w:t>defences</w:t>
      </w:r>
      <w:r w:rsidRPr="00CA2A3E">
        <w:t xml:space="preserve"> against evolving threats.</w:t>
      </w:r>
    </w:p>
    <w:p w14:paraId="62C2E8A9" w14:textId="38774239" w:rsidR="009067A0" w:rsidRPr="00CA2A3E" w:rsidRDefault="009067A0" w:rsidP="00746F52">
      <w:pPr>
        <w:pStyle w:val="Heading2"/>
      </w:pPr>
      <w:bookmarkStart w:id="20" w:name="_Toc184754752"/>
      <w:r w:rsidRPr="00CA2A3E">
        <w:t xml:space="preserve">Skills </w:t>
      </w:r>
      <w:r w:rsidR="00746F52" w:rsidRPr="00CA2A3E">
        <w:t>development: strengthening the</w:t>
      </w:r>
      <w:r w:rsidR="00746F52" w:rsidRPr="002534A8">
        <w:t xml:space="preserve"> cybersecurity </w:t>
      </w:r>
      <w:r w:rsidR="00746F52" w:rsidRPr="00CA2A3E">
        <w:t>workforce</w:t>
      </w:r>
      <w:bookmarkEnd w:id="20"/>
    </w:p>
    <w:p w14:paraId="6A64936D" w14:textId="1C4B601E" w:rsidR="009067A0" w:rsidRPr="00CA2A3E" w:rsidRDefault="009067A0" w:rsidP="009067A0">
      <w:pPr>
        <w:pStyle w:val="Body"/>
      </w:pPr>
      <w:r w:rsidRPr="00CA2A3E">
        <w:t>A robust and skilled workforce is critical to defending healthcare systems against cyber threats. The acute shortage of cybersecurity professionals in the healthcare sector requires immediate action to attract talent, foster expertise and create sustainable</w:t>
      </w:r>
      <w:r w:rsidRPr="009E639F">
        <w:t xml:space="preserve"> career </w:t>
      </w:r>
      <w:r w:rsidRPr="00CA2A3E">
        <w:t>paths.</w:t>
      </w:r>
    </w:p>
    <w:p w14:paraId="45DE96EC" w14:textId="6BA23BF4" w:rsidR="009067A0" w:rsidRPr="00CA2A3E" w:rsidRDefault="009067A0" w:rsidP="00746F52">
      <w:pPr>
        <w:pStyle w:val="Heading3"/>
      </w:pPr>
      <w:bookmarkStart w:id="21" w:name="_Toc184754753"/>
      <w:r w:rsidRPr="00CA2A3E">
        <w:t xml:space="preserve">Promoting </w:t>
      </w:r>
      <w:r w:rsidR="00746F52" w:rsidRPr="00CA2A3E">
        <w:t>cybersecurity careers</w:t>
      </w:r>
      <w:bookmarkEnd w:id="21"/>
    </w:p>
    <w:p w14:paraId="0750A77E" w14:textId="178FAE4A" w:rsidR="009067A0" w:rsidRPr="009E639F" w:rsidRDefault="009067A0" w:rsidP="002534A8">
      <w:pPr>
        <w:pStyle w:val="Body"/>
      </w:pPr>
      <w:r w:rsidRPr="00CA2A3E">
        <w:t>Public</w:t>
      </w:r>
      <w:r w:rsidRPr="009E639F">
        <w:t xml:space="preserve"> campaigns and educational initiatives </w:t>
      </w:r>
      <w:r w:rsidRPr="00CA2A3E">
        <w:t>should focus on breaking</w:t>
      </w:r>
      <w:r w:rsidRPr="009E639F">
        <w:t xml:space="preserve"> down stereotypes </w:t>
      </w:r>
      <w:r w:rsidRPr="00CA2A3E">
        <w:t>about cybersecurity careers, particularly in healthcare. Emphasi</w:t>
      </w:r>
      <w:r w:rsidR="00A04831">
        <w:t>s</w:t>
      </w:r>
      <w:r w:rsidRPr="00CA2A3E">
        <w:t>ing the diversity of roles and the sector</w:t>
      </w:r>
      <w:r w:rsidR="008C6D58">
        <w:t>’</w:t>
      </w:r>
      <w:r w:rsidRPr="00CA2A3E">
        <w:t>s vital societal impact can position</w:t>
      </w:r>
      <w:r w:rsidRPr="009E639F">
        <w:t xml:space="preserve"> cybersecurity as a compelling career </w:t>
      </w:r>
      <w:r w:rsidRPr="00CA2A3E">
        <w:t>choice</w:t>
      </w:r>
      <w:r w:rsidRPr="009E639F">
        <w:t>.</w:t>
      </w:r>
    </w:p>
    <w:p w14:paraId="0637E0DA" w14:textId="7BD5B065" w:rsidR="009067A0" w:rsidRPr="00CA2A3E" w:rsidRDefault="009067A0" w:rsidP="00746F52">
      <w:pPr>
        <w:pStyle w:val="Heading3"/>
      </w:pPr>
      <w:bookmarkStart w:id="22" w:name="_Toc184754754"/>
      <w:r w:rsidRPr="000A66C7">
        <w:t>EU-</w:t>
      </w:r>
      <w:r w:rsidR="00746F52" w:rsidRPr="000A66C7">
        <w:t xml:space="preserve">wide </w:t>
      </w:r>
      <w:r w:rsidR="00746F52" w:rsidRPr="00CA2A3E">
        <w:t>certification</w:t>
      </w:r>
      <w:bookmarkEnd w:id="22"/>
    </w:p>
    <w:p w14:paraId="28B9B95A" w14:textId="3AF6D8CD" w:rsidR="009067A0" w:rsidRPr="009E639F" w:rsidRDefault="009067A0" w:rsidP="000A66C7">
      <w:pPr>
        <w:pStyle w:val="Body"/>
      </w:pPr>
      <w:r w:rsidRPr="00CA2A3E">
        <w:t xml:space="preserve">A unified </w:t>
      </w:r>
      <w:r w:rsidRPr="009E639F">
        <w:t xml:space="preserve">training certification framework </w:t>
      </w:r>
      <w:r w:rsidRPr="00CA2A3E">
        <w:t xml:space="preserve">is needed </w:t>
      </w:r>
      <w:r w:rsidRPr="009E639F">
        <w:t xml:space="preserve">to </w:t>
      </w:r>
      <w:r w:rsidRPr="00CA2A3E">
        <w:t>enhance</w:t>
      </w:r>
      <w:r w:rsidRPr="009E639F">
        <w:t xml:space="preserve"> the visibility and coherence of cybersecurity education</w:t>
      </w:r>
      <w:r w:rsidRPr="00CA2A3E">
        <w:t>.</w:t>
      </w:r>
      <w:r w:rsidRPr="009E639F">
        <w:t xml:space="preserve"> High-quality labels for training program</w:t>
      </w:r>
      <w:r w:rsidR="00746F52" w:rsidRPr="009E639F">
        <w:t>me</w:t>
      </w:r>
      <w:r w:rsidRPr="009E639F">
        <w:t xml:space="preserve">s </w:t>
      </w:r>
      <w:r w:rsidRPr="00CA2A3E">
        <w:t>would ensure</w:t>
      </w:r>
      <w:r w:rsidRPr="009E639F">
        <w:t xml:space="preserve"> that </w:t>
      </w:r>
      <w:r w:rsidRPr="00CA2A3E">
        <w:t>courses meet established standards</w:t>
      </w:r>
      <w:r w:rsidRPr="009E639F">
        <w:t xml:space="preserve"> and </w:t>
      </w:r>
      <w:r w:rsidRPr="00CA2A3E">
        <w:t xml:space="preserve">are </w:t>
      </w:r>
      <w:r w:rsidRPr="009E639F">
        <w:t xml:space="preserve">up to date. </w:t>
      </w:r>
      <w:r w:rsidRPr="00CA2A3E">
        <w:t>Certification</w:t>
      </w:r>
      <w:r w:rsidRPr="009E639F">
        <w:t xml:space="preserve"> levels should </w:t>
      </w:r>
      <w:r w:rsidRPr="00CA2A3E">
        <w:t>align</w:t>
      </w:r>
      <w:r w:rsidRPr="009E639F">
        <w:t xml:space="preserve"> with </w:t>
      </w:r>
      <w:r w:rsidRPr="00CA2A3E">
        <w:t>the varying responsibilities within</w:t>
      </w:r>
      <w:r w:rsidRPr="009E639F">
        <w:t xml:space="preserve"> healthcare organi</w:t>
      </w:r>
      <w:r w:rsidR="00746F52" w:rsidRPr="009E639F">
        <w:t>s</w:t>
      </w:r>
      <w:r w:rsidRPr="009E639F">
        <w:t>ations</w:t>
      </w:r>
      <w:r w:rsidRPr="00CA2A3E">
        <w:t>, from frontline IT personnel to strategic decision-makers</w:t>
      </w:r>
      <w:r w:rsidRPr="009E639F">
        <w:t>.</w:t>
      </w:r>
    </w:p>
    <w:p w14:paraId="7A3CDFAE" w14:textId="26C16E7B" w:rsidR="009067A0" w:rsidRPr="00CA2A3E" w:rsidRDefault="009067A0" w:rsidP="00746F52">
      <w:pPr>
        <w:pStyle w:val="Heading3"/>
      </w:pPr>
      <w:bookmarkStart w:id="23" w:name="_Toc184754755"/>
      <w:r w:rsidRPr="00CA2A3E">
        <w:lastRenderedPageBreak/>
        <w:t xml:space="preserve">Partnerships for </w:t>
      </w:r>
      <w:r w:rsidR="00746F52" w:rsidRPr="00CA2A3E">
        <w:t>career opportunities</w:t>
      </w:r>
      <w:bookmarkEnd w:id="23"/>
    </w:p>
    <w:p w14:paraId="0C5E1691" w14:textId="4E50DFB3" w:rsidR="009067A0" w:rsidRPr="00CA2A3E" w:rsidRDefault="009067A0" w:rsidP="009067A0">
      <w:pPr>
        <w:pStyle w:val="Body"/>
      </w:pPr>
      <w:r w:rsidRPr="00CA2A3E">
        <w:t>Collaboration between private companies, academia and government institutions can create opportunities for cybersecurity professionals at all career stages. These partnerships could support internships, apprenticeships and other work-based learning program</w:t>
      </w:r>
      <w:r w:rsidR="00746F52" w:rsidRPr="00CA2A3E">
        <w:t>me</w:t>
      </w:r>
      <w:r w:rsidRPr="00CA2A3E">
        <w:t>s tailored to the healthcare sector.</w:t>
      </w:r>
    </w:p>
    <w:p w14:paraId="29E61BC1" w14:textId="5BA109D8" w:rsidR="009067A0" w:rsidRPr="00CA2A3E" w:rsidRDefault="009067A0" w:rsidP="00746F52">
      <w:pPr>
        <w:pStyle w:val="Heading3"/>
      </w:pPr>
      <w:bookmarkStart w:id="24" w:name="_Toc184754756"/>
      <w:r w:rsidRPr="00CA2A3E">
        <w:t xml:space="preserve">Enhancing </w:t>
      </w:r>
      <w:r w:rsidR="00746F52" w:rsidRPr="00CA2A3E">
        <w:t>cybersecurity education</w:t>
      </w:r>
      <w:bookmarkEnd w:id="24"/>
    </w:p>
    <w:p w14:paraId="7BC385F7" w14:textId="6AF31AA1" w:rsidR="009067A0" w:rsidRPr="009E639F" w:rsidRDefault="009067A0" w:rsidP="000A66C7">
      <w:pPr>
        <w:pStyle w:val="Body"/>
      </w:pPr>
      <w:r w:rsidRPr="00CA2A3E">
        <w:t>Cybersecurity must be integrated into</w:t>
      </w:r>
      <w:r w:rsidRPr="009E639F">
        <w:t xml:space="preserve"> academic </w:t>
      </w:r>
      <w:r w:rsidRPr="00CA2A3E">
        <w:t>curricula to build a pipeline of highly skilled graduates. Accredited</w:t>
      </w:r>
      <w:r w:rsidRPr="009E639F">
        <w:t>, continuous learning opportunities</w:t>
      </w:r>
      <w:r w:rsidRPr="00CA2A3E">
        <w:t xml:space="preserve">, such as </w:t>
      </w:r>
      <w:r w:rsidRPr="009E639F">
        <w:t>certifications, technical boot camps</w:t>
      </w:r>
      <w:r w:rsidRPr="00CA2A3E">
        <w:t xml:space="preserve"> and</w:t>
      </w:r>
      <w:r w:rsidRPr="009E639F">
        <w:t xml:space="preserve"> secondments</w:t>
      </w:r>
      <w:r w:rsidRPr="00CA2A3E">
        <w:t>, should also be available for professionals seeking</w:t>
      </w:r>
      <w:r w:rsidRPr="009E639F">
        <w:t xml:space="preserve"> to </w:t>
      </w:r>
      <w:r w:rsidRPr="00CA2A3E">
        <w:t>enhance</w:t>
      </w:r>
      <w:r w:rsidRPr="009E639F">
        <w:t xml:space="preserve"> their </w:t>
      </w:r>
      <w:r w:rsidRPr="00CA2A3E">
        <w:t>skills. A structured</w:t>
      </w:r>
      <w:r w:rsidRPr="009E639F">
        <w:t xml:space="preserve"> framework </w:t>
      </w:r>
      <w:r w:rsidRPr="00CA2A3E">
        <w:t>for</w:t>
      </w:r>
      <w:r w:rsidRPr="009E639F">
        <w:t xml:space="preserve"> consistent cybersecurity education and workforce development </w:t>
      </w:r>
      <w:r w:rsidRPr="00CA2A3E">
        <w:t>is essential, encompassing</w:t>
      </w:r>
      <w:r w:rsidRPr="009E639F">
        <w:t xml:space="preserve"> healthcare delivery organi</w:t>
      </w:r>
      <w:r w:rsidR="00746F52" w:rsidRPr="009E639F">
        <w:t>s</w:t>
      </w:r>
      <w:r w:rsidRPr="009E639F">
        <w:t>ations, vendors and service providers</w:t>
      </w:r>
      <w:r w:rsidRPr="00CA2A3E">
        <w:t>.</w:t>
      </w:r>
    </w:p>
    <w:p w14:paraId="2665EA52" w14:textId="0CDF74C8" w:rsidR="009067A0" w:rsidRPr="00CA2A3E" w:rsidRDefault="009067A0" w:rsidP="00746F52">
      <w:pPr>
        <w:pStyle w:val="Heading3"/>
      </w:pPr>
      <w:bookmarkStart w:id="25" w:name="_Toc184754757"/>
      <w:bookmarkStart w:id="26" w:name="_Toc184657718"/>
      <w:r w:rsidRPr="00CA2A3E">
        <w:t xml:space="preserve">Tailored </w:t>
      </w:r>
      <w:r w:rsidR="00746F52" w:rsidRPr="00CA2A3E">
        <w:t>training for healthcare ecosystems</w:t>
      </w:r>
      <w:bookmarkEnd w:id="25"/>
    </w:p>
    <w:p w14:paraId="01313001" w14:textId="1594C5C3" w:rsidR="00F04DCE" w:rsidRPr="00CA2A3E" w:rsidRDefault="009067A0" w:rsidP="009067A0">
      <w:pPr>
        <w:pStyle w:val="Body"/>
      </w:pPr>
      <w:r w:rsidRPr="00CA2A3E">
        <w:t>Training program</w:t>
      </w:r>
      <w:r w:rsidR="00746F52" w:rsidRPr="00CA2A3E">
        <w:t>me</w:t>
      </w:r>
      <w:r w:rsidRPr="00CA2A3E">
        <w:t>s should address the unique cybersecurity needs of healthcare systems, focusing on practical applications and sector-specific challenges. For instance, procurement teams could benefit from speciali</w:t>
      </w:r>
      <w:r w:rsidR="00746F52" w:rsidRPr="00CA2A3E">
        <w:t>s</w:t>
      </w:r>
      <w:r w:rsidRPr="00CA2A3E">
        <w:t>ed program</w:t>
      </w:r>
      <w:r w:rsidR="00746F52" w:rsidRPr="00CA2A3E">
        <w:t>me</w:t>
      </w:r>
      <w:r w:rsidRPr="00CA2A3E">
        <w:t>s on assessing cybersecurity risks in vendor contracts, whil</w:t>
      </w:r>
      <w:r w:rsidR="00746F52" w:rsidRPr="00CA2A3E">
        <w:t>st</w:t>
      </w:r>
      <w:r w:rsidRPr="00CA2A3E">
        <w:t xml:space="preserve"> clinical staff might require training on mitigating risks from medical devices.</w:t>
      </w:r>
    </w:p>
    <w:p w14:paraId="00E9EBAC" w14:textId="5C6AD836" w:rsidR="00F67B35" w:rsidRPr="00CA2A3E" w:rsidRDefault="00F67B35" w:rsidP="000A66C7">
      <w:pPr>
        <w:pStyle w:val="Heading1"/>
      </w:pPr>
      <w:bookmarkStart w:id="27" w:name="_Toc184754758"/>
      <w:r w:rsidRPr="00CA2A3E">
        <w:t>Strengthening ISACs and leveraging EU response mechanisms</w:t>
      </w:r>
      <w:bookmarkEnd w:id="26"/>
      <w:bookmarkEnd w:id="27"/>
    </w:p>
    <w:p w14:paraId="6ABDA465" w14:textId="1C93F822" w:rsidR="00F67B35" w:rsidRPr="00CA2A3E" w:rsidRDefault="00F67B35" w:rsidP="00F67B35">
      <w:pPr>
        <w:pStyle w:val="Body"/>
      </w:pPr>
      <w:r w:rsidRPr="00CA2A3E">
        <w:t xml:space="preserve">Effective information </w:t>
      </w:r>
      <w:r w:rsidRPr="009E639F">
        <w:t xml:space="preserve">sharing and </w:t>
      </w:r>
      <w:r w:rsidRPr="00CA2A3E">
        <w:t xml:space="preserve">collaboration are critical for building </w:t>
      </w:r>
      <w:r w:rsidRPr="009E639F">
        <w:t xml:space="preserve">collective capacity and preparedness to </w:t>
      </w:r>
      <w:r w:rsidRPr="00CA2A3E">
        <w:t>counter</w:t>
      </w:r>
      <w:r w:rsidRPr="009E639F">
        <w:t xml:space="preserve"> cyber threats. </w:t>
      </w:r>
      <w:r w:rsidRPr="00CA2A3E">
        <w:t>ISACs play a key role in this effort, enabling</w:t>
      </w:r>
      <w:r w:rsidRPr="009E639F">
        <w:t xml:space="preserve"> public-private partnerships to enhance cybersecurity</w:t>
      </w:r>
      <w:r w:rsidRPr="00CA2A3E">
        <w:t xml:space="preserve">. Their contributions align with the goals of key EU frameworks, including </w:t>
      </w:r>
      <w:r w:rsidRPr="009E639F">
        <w:t>the NIS2 Directive, the Cybersecurity Act</w:t>
      </w:r>
      <w:r w:rsidRPr="00CA2A3E">
        <w:t xml:space="preserve"> and</w:t>
      </w:r>
      <w:r w:rsidRPr="009E639F">
        <w:t xml:space="preserve"> the Cyber Solidarity Act</w:t>
      </w:r>
      <w:r w:rsidRPr="00CA2A3E">
        <w:t>,</w:t>
      </w:r>
      <w:r w:rsidRPr="00CA2A3E">
        <w:rPr>
          <w:rStyle w:val="FootnoteReference"/>
        </w:rPr>
        <w:footnoteReference w:id="6"/>
      </w:r>
      <w:r w:rsidRPr="00CA2A3E">
        <w:t xml:space="preserve"> which emphasise the importance of collaboration and information exchange across sectors.</w:t>
      </w:r>
    </w:p>
    <w:p w14:paraId="0858AA59" w14:textId="0D2E42E8" w:rsidR="00F67B35" w:rsidRPr="009E639F" w:rsidRDefault="00F67B35" w:rsidP="000A66C7">
      <w:pPr>
        <w:pStyle w:val="Body"/>
      </w:pPr>
      <w:r w:rsidRPr="00CA2A3E">
        <w:t>Whilst</w:t>
      </w:r>
      <w:r w:rsidRPr="009E639F">
        <w:t xml:space="preserve"> the NIS2 Directive does not </w:t>
      </w:r>
      <w:r w:rsidRPr="00CA2A3E">
        <w:t>explicitly</w:t>
      </w:r>
      <w:r w:rsidRPr="009E639F">
        <w:t xml:space="preserve"> mandate the establishment of ISACs, it </w:t>
      </w:r>
      <w:r w:rsidRPr="00CA2A3E">
        <w:t>encourages their use to foster improved communication and cooperation. As non-profit, membership-based organi</w:t>
      </w:r>
      <w:r w:rsidR="005D2EE5" w:rsidRPr="00CA2A3E">
        <w:t>s</w:t>
      </w:r>
      <w:r w:rsidRPr="00CA2A3E">
        <w:t>ations, ISACs provide a centrali</w:t>
      </w:r>
      <w:r w:rsidR="005D2EE5" w:rsidRPr="00CA2A3E">
        <w:t>s</w:t>
      </w:r>
      <w:r w:rsidRPr="00CA2A3E">
        <w:t>ed resource for gathering and sharing information on cyber threats, incidents and best practices. This two-way exchange between private entities and public institutions has proven invaluable in mitigating cyber risks and enabling effective responses to incidents across the EU.</w:t>
      </w:r>
    </w:p>
    <w:p w14:paraId="7D56D6B4" w14:textId="61E7AA97" w:rsidR="00AB7B38" w:rsidRPr="009E639F" w:rsidRDefault="00AB7B38" w:rsidP="000A66C7">
      <w:pPr>
        <w:pStyle w:val="Body"/>
      </w:pPr>
      <w:r w:rsidRPr="009E639F">
        <w:lastRenderedPageBreak/>
        <w:t>Currently, two ISACs are active in the field of health</w:t>
      </w:r>
      <w:r w:rsidRPr="00CA2A3E">
        <w:t>.</w:t>
      </w:r>
      <w:r w:rsidRPr="00CA2A3E">
        <w:rPr>
          <w:rStyle w:val="FootnoteReference"/>
        </w:rPr>
        <w:footnoteReference w:id="7"/>
      </w:r>
      <w:r w:rsidRPr="009E639F">
        <w:t xml:space="preserve"> The membership fee structure enables organisations with more resources to subsidise those with less.</w:t>
      </w:r>
    </w:p>
    <w:p w14:paraId="6781DA82" w14:textId="1E9CD09C" w:rsidR="002F74D9" w:rsidRPr="00DD152D" w:rsidRDefault="002F74D9" w:rsidP="000A66C7">
      <w:pPr>
        <w:pStyle w:val="Body"/>
      </w:pPr>
      <w:r w:rsidRPr="00CA2A3E">
        <w:rPr>
          <w:shd w:val="clear" w:color="auto" w:fill="auto"/>
        </w:rPr>
        <w:t>Despite</w:t>
      </w:r>
      <w:r w:rsidRPr="000A66C7">
        <w:rPr>
          <w:shd w:val="clear" w:color="auto" w:fill="auto"/>
        </w:rPr>
        <w:t xml:space="preserve"> the added value provided by ISACs, these organisations face several challenges that can hamper active participation. For example, smaller organisations or those with lower levels of maturity may feel that they lack the expertise to contribute to </w:t>
      </w:r>
      <w:r w:rsidRPr="00CA2A3E">
        <w:rPr>
          <w:shd w:val="clear" w:color="auto" w:fill="auto"/>
        </w:rPr>
        <w:t>an ISAC</w:t>
      </w:r>
      <w:r w:rsidR="008C6D58">
        <w:rPr>
          <w:shd w:val="clear" w:color="auto" w:fill="auto"/>
        </w:rPr>
        <w:t>’</w:t>
      </w:r>
      <w:r w:rsidRPr="00CA2A3E">
        <w:rPr>
          <w:shd w:val="clear" w:color="auto" w:fill="auto"/>
        </w:rPr>
        <w:t xml:space="preserve">s </w:t>
      </w:r>
      <w:r w:rsidRPr="000A66C7">
        <w:rPr>
          <w:shd w:val="clear" w:color="auto" w:fill="auto"/>
        </w:rPr>
        <w:t xml:space="preserve">the work. Furthermore, certain organisations may feel reluctant to share information during incidents, for instance, due to reputational concerns. Finally, a lack of awareness of </w:t>
      </w:r>
      <w:r w:rsidRPr="00CA2A3E">
        <w:rPr>
          <w:shd w:val="clear" w:color="auto" w:fill="auto"/>
        </w:rPr>
        <w:t>ISACs</w:t>
      </w:r>
      <w:r w:rsidR="008C6D58">
        <w:rPr>
          <w:shd w:val="clear" w:color="auto" w:fill="auto"/>
        </w:rPr>
        <w:t>’</w:t>
      </w:r>
      <w:r w:rsidRPr="000A66C7">
        <w:rPr>
          <w:shd w:val="clear" w:color="auto" w:fill="auto"/>
        </w:rPr>
        <w:t xml:space="preserve"> role, their way of working and how they can be best leveraged is a major barrier that prevents exploiting their full potential.</w:t>
      </w:r>
    </w:p>
    <w:p w14:paraId="7E6AF922" w14:textId="2F6C7BA1" w:rsidR="00F67B35" w:rsidRPr="009E639F" w:rsidRDefault="00F67B35" w:rsidP="000A66C7">
      <w:pPr>
        <w:pStyle w:val="Body"/>
      </w:pPr>
      <w:r w:rsidRPr="00CA2A3E">
        <w:t>To overcome these challenges,</w:t>
      </w:r>
      <w:r w:rsidRPr="009E639F">
        <w:t xml:space="preserve"> the </w:t>
      </w:r>
      <w:r w:rsidR="005D2EE5" w:rsidRPr="00CA2A3E">
        <w:t>action plan</w:t>
      </w:r>
      <w:r w:rsidR="005D2EE5" w:rsidRPr="009E639F">
        <w:t xml:space="preserve"> </w:t>
      </w:r>
      <w:r w:rsidRPr="009E639F">
        <w:t xml:space="preserve">should </w:t>
      </w:r>
      <w:r w:rsidRPr="00CA2A3E">
        <w:t>implement targeted measures</w:t>
      </w:r>
      <w:r w:rsidRPr="009E639F">
        <w:t xml:space="preserve"> to strengthen </w:t>
      </w:r>
      <w:r w:rsidR="005D2EE5" w:rsidRPr="00CA2A3E">
        <w:t>ISACs</w:t>
      </w:r>
      <w:r w:rsidR="008C6D58">
        <w:t>’</w:t>
      </w:r>
      <w:r w:rsidR="005D2EE5" w:rsidRPr="00CA2A3E">
        <w:t xml:space="preserve"> </w:t>
      </w:r>
      <w:r w:rsidRPr="00CA2A3E">
        <w:t>role and impact:</w:t>
      </w:r>
    </w:p>
    <w:p w14:paraId="17F8E9B3" w14:textId="25871860" w:rsidR="005D2EE5" w:rsidRPr="009E639F" w:rsidRDefault="00F67B35" w:rsidP="000A66C7">
      <w:pPr>
        <w:pStyle w:val="Bulletpoint"/>
      </w:pPr>
      <w:r w:rsidRPr="00CA2A3E">
        <w:rPr>
          <w:b/>
          <w:bCs/>
        </w:rPr>
        <w:t>Raise</w:t>
      </w:r>
      <w:r w:rsidRPr="000A66C7">
        <w:rPr>
          <w:b/>
        </w:rPr>
        <w:t xml:space="preserve"> </w:t>
      </w:r>
      <w:r w:rsidR="005D2EE5" w:rsidRPr="000A66C7">
        <w:rPr>
          <w:b/>
        </w:rPr>
        <w:t>a</w:t>
      </w:r>
      <w:r w:rsidRPr="000A66C7">
        <w:rPr>
          <w:b/>
        </w:rPr>
        <w:t>wareness</w:t>
      </w:r>
      <w:r w:rsidR="005D2EE5" w:rsidRPr="00CA2A3E">
        <w:t xml:space="preserve">: </w:t>
      </w:r>
      <w:r w:rsidRPr="00CA2A3E">
        <w:t xml:space="preserve">Conduct </w:t>
      </w:r>
      <w:r w:rsidRPr="009E639F">
        <w:t xml:space="preserve">comprehensive awareness </w:t>
      </w:r>
      <w:r w:rsidRPr="00CA2A3E">
        <w:t>campaigns</w:t>
      </w:r>
      <w:r w:rsidRPr="009E639F">
        <w:t xml:space="preserve"> at </w:t>
      </w:r>
      <w:r w:rsidRPr="00CA2A3E">
        <w:t xml:space="preserve">the </w:t>
      </w:r>
      <w:r w:rsidRPr="009E639F">
        <w:t xml:space="preserve">EU and national levels </w:t>
      </w:r>
      <w:r w:rsidRPr="00CA2A3E">
        <w:t xml:space="preserve">to highlight the value and role of </w:t>
      </w:r>
      <w:r w:rsidR="005D2EE5" w:rsidRPr="00CA2A3E">
        <w:t>h</w:t>
      </w:r>
      <w:r w:rsidRPr="00CA2A3E">
        <w:t>ealth</w:t>
      </w:r>
      <w:r w:rsidR="005D2EE5" w:rsidRPr="00CA2A3E">
        <w:t xml:space="preserve"> </w:t>
      </w:r>
      <w:r w:rsidRPr="00CA2A3E">
        <w:t>ISACs. These campaigns should target hospitals, healthcare providers and smaller businesses, emphasi</w:t>
      </w:r>
      <w:r w:rsidR="005D2EE5" w:rsidRPr="00CA2A3E">
        <w:t>s</w:t>
      </w:r>
      <w:r w:rsidRPr="00CA2A3E">
        <w:t xml:space="preserve">ing the practical benefits of membership. Collaboration with </w:t>
      </w:r>
      <w:r w:rsidRPr="009E639F">
        <w:t>stakeholder organi</w:t>
      </w:r>
      <w:r w:rsidR="005D2EE5" w:rsidRPr="009E639F">
        <w:t>s</w:t>
      </w:r>
      <w:r w:rsidRPr="009E639F">
        <w:t>ations</w:t>
      </w:r>
      <w:r w:rsidRPr="00CA2A3E">
        <w:t>, such as hospital associations, would amplify outreach efforts.</w:t>
      </w:r>
    </w:p>
    <w:p w14:paraId="68D0CB47" w14:textId="4BE9046B" w:rsidR="005D2EE5" w:rsidRPr="009E639F" w:rsidRDefault="00F67B35" w:rsidP="000A66C7">
      <w:pPr>
        <w:pStyle w:val="Bulletpoint"/>
      </w:pPr>
      <w:r w:rsidRPr="00CA2A3E">
        <w:rPr>
          <w:b/>
          <w:bCs/>
        </w:rPr>
        <w:t>Enhance ENISA</w:t>
      </w:r>
      <w:r w:rsidR="008C6D58">
        <w:rPr>
          <w:b/>
          <w:bCs/>
        </w:rPr>
        <w:t>’</w:t>
      </w:r>
      <w:r w:rsidRPr="00CA2A3E">
        <w:rPr>
          <w:b/>
          <w:bCs/>
        </w:rPr>
        <w:t xml:space="preserve">s </w:t>
      </w:r>
      <w:r w:rsidR="005D2EE5" w:rsidRPr="00CA2A3E">
        <w:rPr>
          <w:b/>
          <w:bCs/>
        </w:rPr>
        <w:t>e</w:t>
      </w:r>
      <w:r w:rsidRPr="00CA2A3E">
        <w:rPr>
          <w:b/>
          <w:bCs/>
        </w:rPr>
        <w:t>ngagement</w:t>
      </w:r>
      <w:r w:rsidR="005D2EE5" w:rsidRPr="00CA2A3E">
        <w:t>:</w:t>
      </w:r>
      <w:r w:rsidR="005D2EE5" w:rsidRPr="009E639F">
        <w:t xml:space="preserve"> </w:t>
      </w:r>
      <w:r w:rsidRPr="009E639F">
        <w:t xml:space="preserve">ENISA </w:t>
      </w:r>
      <w:r w:rsidRPr="00CA2A3E">
        <w:t>should</w:t>
      </w:r>
      <w:r w:rsidRPr="009E639F">
        <w:t xml:space="preserve"> take a more active role in </w:t>
      </w:r>
      <w:r w:rsidRPr="00CA2A3E">
        <w:t>supporting ISACs by disseminating</w:t>
      </w:r>
      <w:r w:rsidRPr="009E639F">
        <w:t xml:space="preserve"> their guidelines, </w:t>
      </w:r>
      <w:r w:rsidRPr="00CA2A3E">
        <w:t>best</w:t>
      </w:r>
      <w:r w:rsidRPr="009E639F">
        <w:t xml:space="preserve"> practices and reports across the healthcare </w:t>
      </w:r>
      <w:r w:rsidRPr="00CA2A3E">
        <w:t>sector. Recogni</w:t>
      </w:r>
      <w:r w:rsidR="005D2EE5" w:rsidRPr="00CA2A3E">
        <w:t>s</w:t>
      </w:r>
      <w:r w:rsidRPr="00CA2A3E">
        <w:t>ing</w:t>
      </w:r>
      <w:r w:rsidRPr="009E639F">
        <w:t xml:space="preserve"> ISACs as </w:t>
      </w:r>
      <w:r w:rsidRPr="00CA2A3E">
        <w:t>primary partners</w:t>
      </w:r>
      <w:r w:rsidRPr="009E639F">
        <w:t xml:space="preserve"> for activities related to critical infrastructure</w:t>
      </w:r>
      <w:r w:rsidRPr="00CA2A3E">
        <w:t xml:space="preserve"> would further institutionali</w:t>
      </w:r>
      <w:r w:rsidR="005D2EE5" w:rsidRPr="00CA2A3E">
        <w:t>s</w:t>
      </w:r>
      <w:r w:rsidRPr="00CA2A3E">
        <w:t>e their importance.</w:t>
      </w:r>
    </w:p>
    <w:p w14:paraId="46548CC4" w14:textId="7D57BCA0" w:rsidR="005D2EE5" w:rsidRPr="009E639F" w:rsidRDefault="005D2EE5" w:rsidP="000A66C7">
      <w:pPr>
        <w:pStyle w:val="Bulletpoint"/>
      </w:pPr>
      <w:r w:rsidRPr="00CA2A3E">
        <w:rPr>
          <w:b/>
          <w:bCs/>
        </w:rPr>
        <w:t>Strengthen</w:t>
      </w:r>
      <w:r w:rsidRPr="000A66C7">
        <w:rPr>
          <w:b/>
        </w:rPr>
        <w:t xml:space="preserve"> institutional </w:t>
      </w:r>
      <w:r w:rsidRPr="00CA2A3E">
        <w:rPr>
          <w:b/>
          <w:bCs/>
        </w:rPr>
        <w:t>partnerships</w:t>
      </w:r>
      <w:r w:rsidRPr="00CA2A3E">
        <w:t xml:space="preserve">: </w:t>
      </w:r>
      <w:r w:rsidR="00F67B35" w:rsidRPr="00CA2A3E">
        <w:t xml:space="preserve">ISACs should be positioned as trusted partners for </w:t>
      </w:r>
      <w:r w:rsidR="00F67B35" w:rsidRPr="009E639F">
        <w:t>policymakers, national cybersecurity organi</w:t>
      </w:r>
      <w:r w:rsidRPr="009E639F">
        <w:t>s</w:t>
      </w:r>
      <w:r w:rsidR="00F67B35" w:rsidRPr="009E639F">
        <w:t>ations</w:t>
      </w:r>
      <w:r w:rsidR="00F67B35" w:rsidRPr="00CA2A3E">
        <w:t xml:space="preserve"> and other institutional stakeholders. Their insights can shape</w:t>
      </w:r>
      <w:r w:rsidR="00F67B35" w:rsidRPr="009E639F">
        <w:t xml:space="preserve"> cybersecurity </w:t>
      </w:r>
      <w:r w:rsidR="00F67B35" w:rsidRPr="00CA2A3E">
        <w:t xml:space="preserve">policies, aid the </w:t>
      </w:r>
      <w:r w:rsidR="00F67B35" w:rsidRPr="009E639F">
        <w:t>implementation of relevant legislation</w:t>
      </w:r>
      <w:r w:rsidR="00F67B35" w:rsidRPr="00CA2A3E">
        <w:t xml:space="preserve"> and foster the development of</w:t>
      </w:r>
      <w:r w:rsidR="00F67B35" w:rsidRPr="009E639F">
        <w:t xml:space="preserve"> knowledge-sharing networks</w:t>
      </w:r>
      <w:r w:rsidR="00F67B35" w:rsidRPr="00CA2A3E">
        <w:t xml:space="preserve"> among</w:t>
      </w:r>
      <w:r w:rsidRPr="00CA2A3E">
        <w:t>st</w:t>
      </w:r>
      <w:r w:rsidR="00F67B35" w:rsidRPr="009E639F">
        <w:t xml:space="preserve"> healthcare providers.</w:t>
      </w:r>
    </w:p>
    <w:p w14:paraId="7E86BB00" w14:textId="5B28D22C" w:rsidR="005D2EE5" w:rsidRPr="009E639F" w:rsidRDefault="00F67B35" w:rsidP="000A66C7">
      <w:pPr>
        <w:pStyle w:val="Bulletpoint"/>
      </w:pPr>
      <w:r w:rsidRPr="00CA2A3E">
        <w:rPr>
          <w:b/>
          <w:bCs/>
        </w:rPr>
        <w:t xml:space="preserve">Empower </w:t>
      </w:r>
      <w:r w:rsidR="005D2EE5" w:rsidRPr="00CA2A3E">
        <w:rPr>
          <w:b/>
          <w:bCs/>
        </w:rPr>
        <w:t>h</w:t>
      </w:r>
      <w:r w:rsidRPr="00CA2A3E">
        <w:rPr>
          <w:b/>
          <w:bCs/>
        </w:rPr>
        <w:t xml:space="preserve">ealth ISACs for </w:t>
      </w:r>
      <w:r w:rsidR="005D2EE5" w:rsidRPr="00CA2A3E">
        <w:rPr>
          <w:b/>
          <w:bCs/>
        </w:rPr>
        <w:t>coordinated responses</w:t>
      </w:r>
      <w:r w:rsidR="005D2EE5" w:rsidRPr="00CA2A3E">
        <w:t xml:space="preserve">: </w:t>
      </w:r>
      <w:r w:rsidRPr="00CA2A3E">
        <w:t>Health ISACs should be empowered to lead coordinated</w:t>
      </w:r>
      <w:r w:rsidRPr="009E639F">
        <w:t xml:space="preserve"> responses to ransomware and other </w:t>
      </w:r>
      <w:r w:rsidRPr="00CA2A3E">
        <w:t>cyberattacks affecting</w:t>
      </w:r>
      <w:r w:rsidRPr="009E639F">
        <w:t xml:space="preserve"> critical sector entities. </w:t>
      </w:r>
      <w:r w:rsidRPr="00CA2A3E">
        <w:t>Examples</w:t>
      </w:r>
      <w:r w:rsidRPr="009E639F">
        <w:t xml:space="preserve"> in the Annex </w:t>
      </w:r>
      <w:r w:rsidRPr="00CA2A3E">
        <w:t xml:space="preserve">illustrate how </w:t>
      </w:r>
      <w:r w:rsidR="005D2EE5" w:rsidRPr="00CA2A3E">
        <w:t>h</w:t>
      </w:r>
      <w:r w:rsidRPr="00CA2A3E">
        <w:t>ealth</w:t>
      </w:r>
      <w:r w:rsidRPr="009E639F">
        <w:t xml:space="preserve"> ISACs have </w:t>
      </w:r>
      <w:r w:rsidRPr="00CA2A3E">
        <w:t>played pivotal roles in addressing major cyber threats, underlining their capacity to act as coordinators in crisis scenarios</w:t>
      </w:r>
      <w:r w:rsidR="005D2EE5" w:rsidRPr="00CA2A3E">
        <w:t>.</w:t>
      </w:r>
    </w:p>
    <w:p w14:paraId="0CC37FC2" w14:textId="3E8CA353" w:rsidR="005D2EE5" w:rsidRPr="009E639F" w:rsidRDefault="00F67B35" w:rsidP="000A66C7">
      <w:pPr>
        <w:pStyle w:val="Bulletpoint"/>
      </w:pPr>
      <w:r w:rsidRPr="00CA2A3E">
        <w:rPr>
          <w:b/>
          <w:bCs/>
        </w:rPr>
        <w:t xml:space="preserve">Integrate ISACs into EU </w:t>
      </w:r>
      <w:r w:rsidR="005D2EE5" w:rsidRPr="00CA2A3E">
        <w:rPr>
          <w:b/>
          <w:bCs/>
        </w:rPr>
        <w:t>f</w:t>
      </w:r>
      <w:r w:rsidRPr="00CA2A3E">
        <w:rPr>
          <w:b/>
          <w:bCs/>
        </w:rPr>
        <w:t>rameworks</w:t>
      </w:r>
      <w:r w:rsidR="005D2EE5" w:rsidRPr="00CA2A3E">
        <w:t xml:space="preserve">: </w:t>
      </w:r>
      <w:r w:rsidRPr="009E639F">
        <w:t xml:space="preserve">In </w:t>
      </w:r>
      <w:r w:rsidRPr="00CA2A3E">
        <w:t>alignment</w:t>
      </w:r>
      <w:r w:rsidRPr="009E639F">
        <w:t xml:space="preserve"> with the Cyber Solidarity Act, ISACs </w:t>
      </w:r>
      <w:r w:rsidRPr="00CA2A3E">
        <w:t xml:space="preserve">should serve </w:t>
      </w:r>
      <w:r w:rsidRPr="009E639F">
        <w:t xml:space="preserve">as partners for collaboration </w:t>
      </w:r>
      <w:r w:rsidRPr="00CA2A3E">
        <w:lastRenderedPageBreak/>
        <w:t xml:space="preserve">with </w:t>
      </w:r>
      <w:r w:rsidRPr="009E639F">
        <w:t xml:space="preserve">cluster </w:t>
      </w:r>
      <w:r w:rsidR="005D2EE5" w:rsidRPr="00CA2A3E">
        <w:t>security operation centres</w:t>
      </w:r>
      <w:r w:rsidR="005D2EE5" w:rsidRPr="009E639F">
        <w:t xml:space="preserve"> </w:t>
      </w:r>
      <w:r w:rsidRPr="009E639F">
        <w:t xml:space="preserve">(SOCs) and </w:t>
      </w:r>
      <w:r w:rsidRPr="00CA2A3E">
        <w:t xml:space="preserve">potential contributors to </w:t>
      </w:r>
      <w:r w:rsidR="005D2EE5" w:rsidRPr="00CA2A3E">
        <w:t>cybersecurity reserves</w:t>
      </w:r>
      <w:r w:rsidRPr="00CA2A3E">
        <w:t>. Their expertise would enhance these initiatives</w:t>
      </w:r>
      <w:r w:rsidR="008C6D58">
        <w:t>’</w:t>
      </w:r>
      <w:r w:rsidRPr="00CA2A3E">
        <w:t xml:space="preserve"> efficacy and reach</w:t>
      </w:r>
      <w:r w:rsidRPr="009E639F">
        <w:t>.</w:t>
      </w:r>
    </w:p>
    <w:p w14:paraId="30A8EE8C" w14:textId="0718AD24" w:rsidR="00835BE6" w:rsidRPr="009E639F" w:rsidRDefault="00F67B35" w:rsidP="000A66C7">
      <w:pPr>
        <w:pStyle w:val="Bulletpoint"/>
      </w:pPr>
      <w:r w:rsidRPr="000A66C7">
        <w:rPr>
          <w:b/>
        </w:rPr>
        <w:t>Incentivi</w:t>
      </w:r>
      <w:r w:rsidR="005D2EE5" w:rsidRPr="000A66C7">
        <w:rPr>
          <w:b/>
        </w:rPr>
        <w:t>s</w:t>
      </w:r>
      <w:r w:rsidRPr="000A66C7">
        <w:rPr>
          <w:b/>
        </w:rPr>
        <w:t xml:space="preserve">e </w:t>
      </w:r>
      <w:r w:rsidR="005D2EE5" w:rsidRPr="00CA2A3E">
        <w:rPr>
          <w:b/>
          <w:bCs/>
        </w:rPr>
        <w:t>c</w:t>
      </w:r>
      <w:r w:rsidRPr="00CA2A3E">
        <w:rPr>
          <w:b/>
          <w:bCs/>
        </w:rPr>
        <w:t>ollaboration</w:t>
      </w:r>
      <w:r w:rsidR="005D2EE5" w:rsidRPr="00CA2A3E">
        <w:t xml:space="preserve">: </w:t>
      </w:r>
      <w:r w:rsidRPr="00CA2A3E">
        <w:t>Larger</w:t>
      </w:r>
      <w:r w:rsidRPr="009E639F">
        <w:t xml:space="preserve"> companies and </w:t>
      </w:r>
      <w:r w:rsidRPr="00CA2A3E">
        <w:t>cybersecurity</w:t>
      </w:r>
      <w:r w:rsidRPr="009E639F">
        <w:t xml:space="preserve"> organi</w:t>
      </w:r>
      <w:r w:rsidR="00835BE6" w:rsidRPr="009E639F">
        <w:t>s</w:t>
      </w:r>
      <w:r w:rsidRPr="009E639F">
        <w:t xml:space="preserve">ations </w:t>
      </w:r>
      <w:r w:rsidRPr="00CA2A3E">
        <w:t xml:space="preserve">should be encouraged </w:t>
      </w:r>
      <w:r w:rsidRPr="009E639F">
        <w:t xml:space="preserve">to educate and </w:t>
      </w:r>
      <w:r w:rsidRPr="00CA2A3E">
        <w:t>support</w:t>
      </w:r>
      <w:r w:rsidRPr="009E639F">
        <w:t xml:space="preserve"> smaller </w:t>
      </w:r>
      <w:r w:rsidRPr="00CA2A3E">
        <w:t>entities, which often lack</w:t>
      </w:r>
      <w:r w:rsidRPr="009E639F">
        <w:t xml:space="preserve"> resources to </w:t>
      </w:r>
      <w:r w:rsidRPr="00CA2A3E">
        <w:t>address</w:t>
      </w:r>
      <w:r w:rsidRPr="009E639F">
        <w:t xml:space="preserve"> known threats and vulnerabilities.</w:t>
      </w:r>
      <w:r w:rsidRPr="00CA2A3E">
        <w:t xml:space="preserve"> Incentives could include grants, recognition program</w:t>
      </w:r>
      <w:r w:rsidR="00835BE6" w:rsidRPr="00CA2A3E">
        <w:t>me</w:t>
      </w:r>
      <w:r w:rsidRPr="00CA2A3E">
        <w:t>s or tax benefits.</w:t>
      </w:r>
    </w:p>
    <w:p w14:paraId="37366AF3" w14:textId="49631D71" w:rsidR="00835BE6" w:rsidRPr="009E639F" w:rsidRDefault="00F67B35" w:rsidP="000A66C7">
      <w:pPr>
        <w:pStyle w:val="Bulletpoint"/>
      </w:pPr>
      <w:r w:rsidRPr="000A66C7">
        <w:rPr>
          <w:b/>
        </w:rPr>
        <w:t xml:space="preserve">Facilitate </w:t>
      </w:r>
      <w:r w:rsidR="00835BE6" w:rsidRPr="00CA2A3E">
        <w:rPr>
          <w:b/>
          <w:bCs/>
        </w:rPr>
        <w:t>joint playbooks and real-time intelligence sharing</w:t>
      </w:r>
      <w:r w:rsidR="00835BE6" w:rsidRPr="00CA2A3E">
        <w:t xml:space="preserve">: </w:t>
      </w:r>
      <w:r w:rsidRPr="00CA2A3E">
        <w:t xml:space="preserve">Develop </w:t>
      </w:r>
      <w:r w:rsidRPr="009E639F">
        <w:t xml:space="preserve">joint operating playbooks </w:t>
      </w:r>
      <w:r w:rsidRPr="00CA2A3E">
        <w:t>for healthcare organi</w:t>
      </w:r>
      <w:r w:rsidR="00835BE6" w:rsidRPr="00CA2A3E">
        <w:t>s</w:t>
      </w:r>
      <w:r w:rsidRPr="00CA2A3E">
        <w:t>ations to standardi</w:t>
      </w:r>
      <w:r w:rsidR="00835BE6" w:rsidRPr="00CA2A3E">
        <w:t>s</w:t>
      </w:r>
      <w:r w:rsidRPr="00CA2A3E">
        <w:t xml:space="preserve">e incident responses. Broader </w:t>
      </w:r>
      <w:r w:rsidRPr="009E639F">
        <w:t xml:space="preserve">sharing of </w:t>
      </w:r>
      <w:r w:rsidRPr="00CA2A3E">
        <w:t xml:space="preserve">real-time </w:t>
      </w:r>
      <w:r w:rsidRPr="009E639F">
        <w:t xml:space="preserve">indicators of compromise, including </w:t>
      </w:r>
      <w:r w:rsidRPr="00CA2A3E">
        <w:t>lessons</w:t>
      </w:r>
      <w:r w:rsidRPr="009E639F">
        <w:t xml:space="preserve"> from other sectors </w:t>
      </w:r>
      <w:r w:rsidRPr="00CA2A3E">
        <w:t>such as finance, would strengthen preparedness and resilience across the board.</w:t>
      </w:r>
    </w:p>
    <w:p w14:paraId="32DF307F" w14:textId="0ED5C89D" w:rsidR="00835BE6" w:rsidRPr="009E639F" w:rsidRDefault="00F67B35" w:rsidP="000A66C7">
      <w:pPr>
        <w:pStyle w:val="Bulletpoint"/>
      </w:pPr>
      <w:r w:rsidRPr="00CA2A3E">
        <w:rPr>
          <w:b/>
          <w:bCs/>
        </w:rPr>
        <w:t>Rapid-</w:t>
      </w:r>
      <w:r w:rsidR="00835BE6" w:rsidRPr="00CA2A3E">
        <w:rPr>
          <w:b/>
          <w:bCs/>
        </w:rPr>
        <w:t>response cybersecurity units</w:t>
      </w:r>
      <w:r w:rsidR="00835BE6" w:rsidRPr="00CA2A3E">
        <w:t xml:space="preserve">: </w:t>
      </w:r>
      <w:r w:rsidRPr="00CA2A3E">
        <w:t xml:space="preserve">To further enhance healthcare resilience, </w:t>
      </w:r>
      <w:r w:rsidR="00835BE6" w:rsidRPr="00CA2A3E">
        <w:t>Member States</w:t>
      </w:r>
      <w:r w:rsidRPr="00CA2A3E">
        <w:t xml:space="preserve"> should </w:t>
      </w:r>
      <w:r w:rsidR="00835BE6" w:rsidRPr="00CA2A3E">
        <w:t xml:space="preserve">require the </w:t>
      </w:r>
      <w:r w:rsidRPr="00CA2A3E">
        <w:t>establish</w:t>
      </w:r>
      <w:r w:rsidR="00835BE6" w:rsidRPr="00CA2A3E">
        <w:t>ment of</w:t>
      </w:r>
      <w:r w:rsidRPr="009E639F">
        <w:t xml:space="preserve"> dedicated, rapid-response cybersecurity units within healthcare systems</w:t>
      </w:r>
      <w:r w:rsidRPr="00CA2A3E">
        <w:t>. These units would</w:t>
      </w:r>
      <w:r w:rsidRPr="009E639F">
        <w:t xml:space="preserve"> ensure continuity of critical services </w:t>
      </w:r>
      <w:r w:rsidRPr="00CA2A3E">
        <w:t>during</w:t>
      </w:r>
      <w:r w:rsidRPr="009E639F">
        <w:t xml:space="preserve"> cyber incidents </w:t>
      </w:r>
      <w:r w:rsidRPr="00CA2A3E">
        <w:t>and support long-term recovery efforts:</w:t>
      </w:r>
    </w:p>
    <w:p w14:paraId="0BBA4A9E" w14:textId="39B9624E" w:rsidR="00942DAB" w:rsidRPr="009E639F" w:rsidRDefault="00F67B35" w:rsidP="000A66C7">
      <w:pPr>
        <w:pStyle w:val="Bulletpoint"/>
        <w:numPr>
          <w:ilvl w:val="1"/>
          <w:numId w:val="3"/>
        </w:numPr>
      </w:pPr>
      <w:r w:rsidRPr="00CA2A3E">
        <w:t xml:space="preserve">Proactive </w:t>
      </w:r>
      <w:r w:rsidR="00835BE6" w:rsidRPr="00CA2A3E">
        <w:t xml:space="preserve">measures for critical entities: </w:t>
      </w:r>
      <w:r w:rsidRPr="000A66C7">
        <w:t xml:space="preserve">In </w:t>
      </w:r>
      <w:r w:rsidRPr="00CA2A3E">
        <w:t>line with</w:t>
      </w:r>
      <w:r w:rsidRPr="000A66C7">
        <w:t xml:space="preserve"> the </w:t>
      </w:r>
      <w:r w:rsidRPr="009E639F">
        <w:t xml:space="preserve">Directive on the </w:t>
      </w:r>
      <w:r w:rsidRPr="00CA2A3E">
        <w:t>Resilience of Critical Entities,</w:t>
      </w:r>
      <w:r w:rsidR="003E5AE7" w:rsidRPr="00CA2A3E">
        <w:rPr>
          <w:rStyle w:val="FootnoteReference"/>
        </w:rPr>
        <w:footnoteReference w:id="8"/>
      </w:r>
      <w:r w:rsidRPr="009E639F">
        <w:t xml:space="preserve"> Member States and critical entities </w:t>
      </w:r>
      <w:r w:rsidRPr="00CA2A3E">
        <w:t>should adopt</w:t>
      </w:r>
      <w:r w:rsidRPr="009E639F">
        <w:t xml:space="preserve"> proactive measures to ensure </w:t>
      </w:r>
      <w:r w:rsidRPr="00CA2A3E">
        <w:t xml:space="preserve">security and </w:t>
      </w:r>
      <w:r w:rsidRPr="009E639F">
        <w:t>continuity in response to threats, both natural and man-made.</w:t>
      </w:r>
    </w:p>
    <w:p w14:paraId="5491783B" w14:textId="027A858C" w:rsidR="00F67B35" w:rsidRPr="009E639F" w:rsidRDefault="00F67B35" w:rsidP="000A66C7">
      <w:pPr>
        <w:pStyle w:val="Bulletpoint"/>
        <w:numPr>
          <w:ilvl w:val="1"/>
          <w:numId w:val="3"/>
        </w:numPr>
      </w:pPr>
      <w:r w:rsidRPr="00CA2A3E">
        <w:t xml:space="preserve">Cybersecurity </w:t>
      </w:r>
      <w:r w:rsidR="00942DAB" w:rsidRPr="009E639F">
        <w:t>e</w:t>
      </w:r>
      <w:r w:rsidRPr="009E639F">
        <w:t>xercises</w:t>
      </w:r>
      <w:r w:rsidR="00942DAB" w:rsidRPr="00CA2A3E">
        <w:t xml:space="preserve">: </w:t>
      </w:r>
      <w:r w:rsidRPr="00CA2A3E">
        <w:t>Annual cybersecurity exercises should be conducted to test and improve healthcare systems</w:t>
      </w:r>
      <w:r w:rsidR="008C6D58">
        <w:t>’</w:t>
      </w:r>
      <w:r w:rsidRPr="00CA2A3E">
        <w:t xml:space="preserve"> </w:t>
      </w:r>
      <w:r w:rsidR="00942DAB" w:rsidRPr="00CA2A3E">
        <w:t>defences</w:t>
      </w:r>
      <w:r w:rsidRPr="00CA2A3E">
        <w:t>. For example</w:t>
      </w:r>
      <w:r w:rsidR="00942DAB" w:rsidRPr="00CA2A3E">
        <w:t xml:space="preserve">: </w:t>
      </w:r>
      <w:r w:rsidRPr="009E639F">
        <w:t xml:space="preserve">ENISA-facilitated purple </w:t>
      </w:r>
      <w:r w:rsidRPr="00CA2A3E">
        <w:t xml:space="preserve">teaming exercises could </w:t>
      </w:r>
      <w:r w:rsidRPr="009E639F">
        <w:t xml:space="preserve">identify vulnerabilities and </w:t>
      </w:r>
      <w:r w:rsidRPr="00CA2A3E">
        <w:t xml:space="preserve">refine </w:t>
      </w:r>
      <w:r w:rsidR="00942DAB" w:rsidRPr="00CA2A3E">
        <w:t>defence</w:t>
      </w:r>
      <w:r w:rsidRPr="00CA2A3E">
        <w:t xml:space="preserve"> mechanisms</w:t>
      </w:r>
      <w:r w:rsidR="00942DAB" w:rsidRPr="00CA2A3E">
        <w:t>;</w:t>
      </w:r>
      <w:r w:rsidR="00942DAB" w:rsidRPr="009E639F">
        <w:t xml:space="preserve"> and t</w:t>
      </w:r>
      <w:r w:rsidRPr="009E639F">
        <w:t xml:space="preserve">abletop simulation exercises with National Cybersecurity Centres (NCSCs) </w:t>
      </w:r>
      <w:r w:rsidRPr="00CA2A3E">
        <w:t>would enhance</w:t>
      </w:r>
      <w:r w:rsidRPr="009E639F">
        <w:t xml:space="preserve"> practical crisis response</w:t>
      </w:r>
      <w:r w:rsidRPr="00CA2A3E">
        <w:t xml:space="preserve"> and decision-making capabilities</w:t>
      </w:r>
      <w:r w:rsidRPr="009E639F">
        <w:t>.</w:t>
      </w:r>
      <w:bookmarkEnd w:id="7"/>
    </w:p>
    <w:p w14:paraId="73C9654E" w14:textId="3D78D7B6" w:rsidR="00E7049E" w:rsidRPr="000A66C7" w:rsidRDefault="002E3CE8" w:rsidP="000A66C7">
      <w:pPr>
        <w:pStyle w:val="Heading1"/>
      </w:pPr>
      <w:bookmarkStart w:id="28" w:name="_Toc184754759"/>
      <w:bookmarkStart w:id="29" w:name="_Toc184657719"/>
      <w:r w:rsidRPr="00CA2A3E">
        <w:t>G</w:t>
      </w:r>
      <w:r w:rsidR="00E7049E" w:rsidRPr="00CA2A3E">
        <w:t>uidelines for NIS2 Directive implementation in healthcare</w:t>
      </w:r>
      <w:bookmarkEnd w:id="28"/>
      <w:bookmarkEnd w:id="29"/>
    </w:p>
    <w:p w14:paraId="53704139" w14:textId="2F756BEA" w:rsidR="00396AB5" w:rsidRPr="00CA2A3E" w:rsidRDefault="00E7049E" w:rsidP="00E7049E">
      <w:pPr>
        <w:pStyle w:val="Body"/>
      </w:pPr>
      <w:r w:rsidRPr="009E639F">
        <w:lastRenderedPageBreak/>
        <w:t>As of October 2024, the NIS2 Directive has officially become applicable</w:t>
      </w:r>
      <w:r w:rsidR="004C3898" w:rsidRPr="00CA2A3E">
        <w:t xml:space="preserve">, requiring </w:t>
      </w:r>
      <w:r w:rsidR="004C3898" w:rsidRPr="009E639F">
        <w:t xml:space="preserve">hospitals, healthcare providers, medical device manufacturers and pharmaceutical companies to </w:t>
      </w:r>
      <w:r w:rsidR="004C3898" w:rsidRPr="00CA2A3E">
        <w:t>adopt robust cybersecurity measures.</w:t>
      </w:r>
      <w:r w:rsidR="004C3898" w:rsidRPr="00CA2A3E">
        <w:rPr>
          <w:rStyle w:val="FootnoteReference"/>
        </w:rPr>
        <w:footnoteReference w:id="9"/>
      </w:r>
    </w:p>
    <w:p w14:paraId="104046A4" w14:textId="7DD1D23E" w:rsidR="00E7049E" w:rsidRPr="009E639F" w:rsidRDefault="00396AB5" w:rsidP="000A66C7">
      <w:pPr>
        <w:pStyle w:val="Body"/>
      </w:pPr>
      <w:r w:rsidRPr="00CA2A3E">
        <w:t>S</w:t>
      </w:r>
      <w:r w:rsidR="00E7049E" w:rsidRPr="00CA2A3E">
        <w:t>o</w:t>
      </w:r>
      <w:r w:rsidR="00E7049E" w:rsidRPr="009E639F">
        <w:t xml:space="preserve"> far, only six Member States have fully or partially </w:t>
      </w:r>
      <w:r w:rsidR="00646D18" w:rsidRPr="00CA2A3E">
        <w:t>enacted</w:t>
      </w:r>
      <w:r w:rsidR="00E7049E" w:rsidRPr="009E639F">
        <w:t xml:space="preserve"> the </w:t>
      </w:r>
      <w:r w:rsidRPr="00CA2A3E">
        <w:t>d</w:t>
      </w:r>
      <w:r w:rsidR="00E7049E" w:rsidRPr="00CA2A3E">
        <w:t>irective</w:t>
      </w:r>
      <w:r w:rsidR="00E7049E" w:rsidRPr="009E639F">
        <w:t xml:space="preserve"> into national law</w:t>
      </w:r>
      <w:r w:rsidRPr="00CA2A3E">
        <w:t>. Its</w:t>
      </w:r>
      <w:r w:rsidRPr="009E639F">
        <w:t xml:space="preserve"> implementation </w:t>
      </w:r>
      <w:r w:rsidRPr="00CA2A3E">
        <w:t>poses significant challenges, particularly for</w:t>
      </w:r>
      <w:r w:rsidRPr="009E639F">
        <w:t xml:space="preserve"> the healthcare </w:t>
      </w:r>
      <w:r w:rsidRPr="00CA2A3E">
        <w:t>sector, due</w:t>
      </w:r>
      <w:r w:rsidRPr="009E639F">
        <w:t xml:space="preserve"> to overlaps with </w:t>
      </w:r>
      <w:r w:rsidRPr="00CA2A3E">
        <w:t>existing</w:t>
      </w:r>
      <w:r w:rsidRPr="009E639F">
        <w:t xml:space="preserve"> regulations such as the Medical </w:t>
      </w:r>
      <w:r w:rsidRPr="00CA2A3E">
        <w:t>Device Regulations</w:t>
      </w:r>
      <w:r w:rsidRPr="009E639F">
        <w:t>, the European Health Data Space (EHDS)</w:t>
      </w:r>
      <w:r w:rsidRPr="00CA2A3E">
        <w:t xml:space="preserve"> and</w:t>
      </w:r>
      <w:r w:rsidRPr="009E639F">
        <w:t xml:space="preserve"> the Cyber Resilience Act (CRA</w:t>
      </w:r>
      <w:r w:rsidRPr="00CA2A3E">
        <w:t>).</w:t>
      </w:r>
      <w:r w:rsidR="006C4DFB" w:rsidRPr="00CA2A3E">
        <w:rPr>
          <w:rStyle w:val="FootnoteReference"/>
        </w:rPr>
        <w:t xml:space="preserve"> </w:t>
      </w:r>
      <w:r w:rsidR="006C4DFB" w:rsidRPr="00CA2A3E">
        <w:rPr>
          <w:rStyle w:val="FootnoteReference"/>
        </w:rPr>
        <w:footnoteReference w:id="10"/>
      </w:r>
    </w:p>
    <w:p w14:paraId="0CE2CB3C" w14:textId="0BC08A6D" w:rsidR="00E7049E" w:rsidRPr="009E639F" w:rsidRDefault="00E7049E" w:rsidP="000A66C7">
      <w:pPr>
        <w:pStyle w:val="Body"/>
      </w:pPr>
      <w:r w:rsidRPr="00CA2A3E">
        <w:t xml:space="preserve">The </w:t>
      </w:r>
      <w:r w:rsidR="002E3CE8" w:rsidRPr="00CA2A3E">
        <w:t>action plan</w:t>
      </w:r>
      <w:r w:rsidR="002E3CE8" w:rsidRPr="009E639F">
        <w:t xml:space="preserve"> </w:t>
      </w:r>
      <w:r w:rsidRPr="009E639F">
        <w:t xml:space="preserve">should seek to clarify and foster harmonised implementation of NIS2 in the </w:t>
      </w:r>
      <w:r w:rsidR="002E3CE8" w:rsidRPr="009E639F">
        <w:t>healthcare</w:t>
      </w:r>
      <w:r w:rsidR="002E3CE8" w:rsidRPr="00CA2A3E">
        <w:t xml:space="preserve"> </w:t>
      </w:r>
      <w:r w:rsidRPr="00CA2A3E">
        <w:t>context</w:t>
      </w:r>
      <w:r w:rsidRPr="009E639F">
        <w:t>. It is crucial for all stakeholders involved in the health sector that overlapping requirements across regulations are streamlined and clarified to facilitate compliance and simplify implementation</w:t>
      </w:r>
      <w:r w:rsidR="009D0756" w:rsidRPr="009E639F">
        <w:t>.</w:t>
      </w:r>
    </w:p>
    <w:p w14:paraId="4AEBFF42" w14:textId="7612EA7C" w:rsidR="009D0756" w:rsidRPr="00CA2A3E" w:rsidRDefault="009D0756" w:rsidP="00E7049E">
      <w:pPr>
        <w:pStyle w:val="Body"/>
      </w:pPr>
      <w:r w:rsidRPr="00CA2A3E">
        <w:t>To this end, the Commission should:</w:t>
      </w:r>
    </w:p>
    <w:p w14:paraId="22B0EAFA" w14:textId="4E76133A" w:rsidR="009D0756" w:rsidRPr="009E639F" w:rsidRDefault="009D0756" w:rsidP="000A66C7">
      <w:pPr>
        <w:pStyle w:val="Bulletpoint"/>
      </w:pPr>
      <w:r w:rsidRPr="009E639F">
        <w:t xml:space="preserve">Publish clear guidelines </w:t>
      </w:r>
      <w:r w:rsidRPr="00CA2A3E">
        <w:t xml:space="preserve">on NIS2 Directive </w:t>
      </w:r>
      <w:r w:rsidRPr="009E639F">
        <w:t>implementation in healthcare</w:t>
      </w:r>
      <w:r w:rsidRPr="00CA2A3E">
        <w:t>, aligning its requirements</w:t>
      </w:r>
      <w:r w:rsidRPr="009E639F">
        <w:t xml:space="preserve"> with </w:t>
      </w:r>
      <w:r w:rsidRPr="00CA2A3E">
        <w:t>the other</w:t>
      </w:r>
      <w:r w:rsidRPr="009E639F">
        <w:t xml:space="preserve"> </w:t>
      </w:r>
      <w:r w:rsidR="00C55014" w:rsidRPr="009E639F">
        <w:t>legal</w:t>
      </w:r>
      <w:r w:rsidRPr="009E639F">
        <w:t xml:space="preserve"> frameworks</w:t>
      </w:r>
      <w:r w:rsidRPr="00CA2A3E">
        <w:t>. Tailored</w:t>
      </w:r>
      <w:r w:rsidRPr="009E639F">
        <w:t xml:space="preserve"> cybersecurity guidelines </w:t>
      </w:r>
      <w:r w:rsidRPr="00CA2A3E">
        <w:t xml:space="preserve">should define the </w:t>
      </w:r>
      <w:r w:rsidRPr="009E639F">
        <w:t xml:space="preserve">shared responsibilities </w:t>
      </w:r>
      <w:r w:rsidRPr="00CA2A3E">
        <w:t>of</w:t>
      </w:r>
      <w:r w:rsidRPr="009E639F">
        <w:t xml:space="preserve"> healthcare providers, medical device manufacturers, pharmaceutical companies and other entities, </w:t>
      </w:r>
      <w:r w:rsidRPr="00CA2A3E">
        <w:t>ensuring streamlined</w:t>
      </w:r>
      <w:r w:rsidRPr="009E639F">
        <w:t xml:space="preserve"> compliance</w:t>
      </w:r>
      <w:r w:rsidRPr="00CA2A3E">
        <w:t xml:space="preserve">. These guidelines should specify applicable </w:t>
      </w:r>
      <w:r w:rsidRPr="009E639F">
        <w:t xml:space="preserve">state-of-the-art </w:t>
      </w:r>
      <w:r w:rsidRPr="00CA2A3E">
        <w:t xml:space="preserve">standards, such as </w:t>
      </w:r>
      <w:r w:rsidRPr="009E639F">
        <w:t>ISO 27001</w:t>
      </w:r>
      <w:r w:rsidRPr="00CA2A3E">
        <w:t>, to simplify adherence</w:t>
      </w:r>
      <w:r w:rsidRPr="009E639F">
        <w:t xml:space="preserve"> across the </w:t>
      </w:r>
      <w:r w:rsidRPr="00CA2A3E">
        <w:t>healthcare</w:t>
      </w:r>
      <w:r w:rsidRPr="009E639F">
        <w:t xml:space="preserve"> ecosystem</w:t>
      </w:r>
      <w:r w:rsidRPr="00CA2A3E">
        <w:t>. Organisations</w:t>
      </w:r>
      <w:r w:rsidRPr="009E639F">
        <w:t xml:space="preserve"> should not be required to duplicate compliance </w:t>
      </w:r>
      <w:r w:rsidRPr="00CA2A3E">
        <w:t>efforts if</w:t>
      </w:r>
      <w:r w:rsidRPr="009E639F">
        <w:t xml:space="preserve"> existing European or </w:t>
      </w:r>
      <w:r w:rsidRPr="00CA2A3E">
        <w:t>international standards already address the relevant requirements</w:t>
      </w:r>
      <w:r w:rsidRPr="009E639F">
        <w:t>.</w:t>
      </w:r>
    </w:p>
    <w:p w14:paraId="7EFEA638" w14:textId="5DA3786F" w:rsidR="00E7049E" w:rsidRPr="009E639F" w:rsidRDefault="00E7049E" w:rsidP="000A66C7">
      <w:pPr>
        <w:pStyle w:val="Bulletpoint"/>
      </w:pPr>
      <w:r w:rsidRPr="009E639F">
        <w:t xml:space="preserve">Provide practical support on how to implement these standards effectively and improve </w:t>
      </w:r>
      <w:r w:rsidR="009D0756" w:rsidRPr="00CA2A3E">
        <w:t>organisations</w:t>
      </w:r>
      <w:r w:rsidR="008C6D58">
        <w:t>’</w:t>
      </w:r>
      <w:r w:rsidRPr="009E639F">
        <w:t xml:space="preserve"> security posture</w:t>
      </w:r>
      <w:r w:rsidR="009D0756" w:rsidRPr="00CA2A3E">
        <w:t>,</w:t>
      </w:r>
      <w:r w:rsidRPr="00CA2A3E">
        <w:t xml:space="preserve"> </w:t>
      </w:r>
      <w:r w:rsidR="009D0756" w:rsidRPr="00CA2A3E">
        <w:t>especially to SMEs.</w:t>
      </w:r>
      <w:r w:rsidR="009D0756" w:rsidRPr="00CA2A3E">
        <w:rPr>
          <w:rStyle w:val="FootnoteReference"/>
        </w:rPr>
        <w:footnoteReference w:id="11"/>
      </w:r>
    </w:p>
    <w:p w14:paraId="5199432E" w14:textId="77777777" w:rsidR="00C55014" w:rsidRPr="00CA2A3E" w:rsidRDefault="009D0756" w:rsidP="00E7049E">
      <w:pPr>
        <w:pStyle w:val="Bulletpoint"/>
      </w:pPr>
      <w:r w:rsidRPr="00CA2A3E">
        <w:t>Collaborate with National Cyber Agencies to lead awareness campaigns and provide targeted training for healthcare organisations, focusing on critical topics such as the scope and responsibilities under NIS2, emerging threats like deep-fake attacks and best practices for strengthening cybersecurity resilience.</w:t>
      </w:r>
    </w:p>
    <w:p w14:paraId="2EE39689" w14:textId="77777777" w:rsidR="000D2037" w:rsidRPr="00CA2A3E" w:rsidRDefault="000D2037" w:rsidP="000D2037">
      <w:pPr>
        <w:pStyle w:val="Body"/>
      </w:pPr>
    </w:p>
    <w:p w14:paraId="570B45F1" w14:textId="77777777" w:rsidR="001967C7" w:rsidRPr="00CA2A3E" w:rsidRDefault="001967C7" w:rsidP="00CB5F67">
      <w:pPr>
        <w:spacing w:after="360"/>
        <w:ind w:left="806" w:right="3176" w:hanging="806"/>
        <w:rPr>
          <w:rFonts w:ascii="Arial Nova" w:hAnsi="Arial Nova"/>
          <w:color w:val="003DD6" w:themeColor="accent1"/>
          <w:sz w:val="18"/>
          <w:szCs w:val="18"/>
        </w:rPr>
      </w:pPr>
      <w:r w:rsidRPr="00CA2A3E">
        <w:rPr>
          <w:rFonts w:ascii="Arial Nova" w:hAnsi="Arial Nova"/>
          <w:color w:val="003DD6" w:themeColor="accent1"/>
          <w:sz w:val="18"/>
          <w:szCs w:val="18"/>
        </w:rPr>
        <w:lastRenderedPageBreak/>
        <w:t>FOR MORE INFORMATION, PLEASE CONTACT:</w:t>
      </w:r>
    </w:p>
    <w:p w14:paraId="66871580" w14:textId="6E1C2F3B" w:rsidR="001967C7" w:rsidRPr="00CA2A3E" w:rsidRDefault="00BD0716" w:rsidP="00BB2F8C">
      <w:pPr>
        <w:pStyle w:val="Contactinformationname"/>
      </w:pPr>
      <w:r w:rsidRPr="00CA2A3E">
        <w:t>Gianluca Violante</w:t>
      </w:r>
    </w:p>
    <w:p w14:paraId="6750CAD4" w14:textId="039A96B3" w:rsidR="001967C7" w:rsidRPr="00CA2A3E" w:rsidRDefault="00BD0716" w:rsidP="00464D40">
      <w:pPr>
        <w:ind w:left="720"/>
        <w:rPr>
          <w:b/>
          <w:color w:val="003DD6" w:themeColor="accent1"/>
          <w:sz w:val="22"/>
          <w:szCs w:val="22"/>
        </w:rPr>
      </w:pPr>
      <w:r w:rsidRPr="00CA2A3E">
        <w:rPr>
          <w:b/>
          <w:color w:val="003DD6" w:themeColor="accent1"/>
          <w:sz w:val="22"/>
          <w:szCs w:val="22"/>
        </w:rPr>
        <w:t>Senior Manager for Digital Health Policy</w:t>
      </w:r>
    </w:p>
    <w:p w14:paraId="21822679" w14:textId="6C75B242" w:rsidR="001967C7" w:rsidRPr="00CA2A3E" w:rsidRDefault="00BD0716" w:rsidP="00A91F54">
      <w:pPr>
        <w:pBdr>
          <w:bottom w:val="dashSmallGap" w:sz="4" w:space="12" w:color="003DD6" w:themeColor="accent1"/>
        </w:pBdr>
        <w:spacing w:after="60" w:line="20" w:lineRule="atLeast"/>
        <w:ind w:left="720" w:right="1350"/>
        <w:rPr>
          <w:sz w:val="22"/>
          <w:szCs w:val="22"/>
        </w:rPr>
      </w:pPr>
      <w:hyperlink r:id="rId12" w:history="1">
        <w:r w:rsidRPr="00CA2A3E">
          <w:rPr>
            <w:rStyle w:val="Hyperlink"/>
          </w:rPr>
          <w:t>gianluca.violante@digitaleurope.org</w:t>
        </w:r>
      </w:hyperlink>
      <w:r w:rsidR="00A91F54" w:rsidRPr="00CA2A3E">
        <w:rPr>
          <w:sz w:val="22"/>
          <w:szCs w:val="22"/>
        </w:rPr>
        <w:t xml:space="preserve"> / </w:t>
      </w:r>
      <w:r w:rsidRPr="00CA2A3E">
        <w:rPr>
          <w:sz w:val="22"/>
          <w:szCs w:val="22"/>
        </w:rPr>
        <w:t>+32 492 46 78 17</w:t>
      </w:r>
    </w:p>
    <w:p w14:paraId="190AA250" w14:textId="2B2BE392" w:rsidR="00914540" w:rsidRPr="00CA2A3E" w:rsidRDefault="00BD0716" w:rsidP="00464D40">
      <w:pPr>
        <w:pStyle w:val="ListParagraph"/>
        <w:numPr>
          <w:ilvl w:val="0"/>
          <w:numId w:val="16"/>
        </w:numPr>
        <w:spacing w:before="120" w:after="120"/>
        <w:ind w:hanging="720"/>
        <w:rPr>
          <w:sz w:val="26"/>
          <w:szCs w:val="26"/>
        </w:rPr>
      </w:pPr>
      <w:r w:rsidRPr="00CA2A3E">
        <w:rPr>
          <w:sz w:val="26"/>
          <w:szCs w:val="26"/>
        </w:rPr>
        <w:t>Alberto Di Felice</w:t>
      </w:r>
    </w:p>
    <w:p w14:paraId="48018CF0" w14:textId="5EC6434A" w:rsidR="00914540" w:rsidRPr="00CA2A3E" w:rsidRDefault="00BD0716" w:rsidP="00464D40">
      <w:pPr>
        <w:tabs>
          <w:tab w:val="left" w:pos="810"/>
        </w:tabs>
        <w:ind w:left="810" w:hanging="90"/>
        <w:rPr>
          <w:b/>
          <w:color w:val="003DD6" w:themeColor="accent1"/>
          <w:sz w:val="22"/>
          <w:szCs w:val="22"/>
        </w:rPr>
      </w:pPr>
      <w:r w:rsidRPr="00CA2A3E">
        <w:rPr>
          <w:b/>
          <w:color w:val="003DD6" w:themeColor="accent1"/>
          <w:sz w:val="22"/>
          <w:szCs w:val="22"/>
        </w:rPr>
        <w:t>Policy and Legal Counsel</w:t>
      </w:r>
    </w:p>
    <w:p w14:paraId="7E889DAA" w14:textId="717E760C" w:rsidR="001967C7" w:rsidRPr="00CA2A3E" w:rsidRDefault="00BD0716" w:rsidP="00495900">
      <w:pPr>
        <w:tabs>
          <w:tab w:val="left" w:pos="810"/>
        </w:tabs>
        <w:spacing w:after="60" w:line="20" w:lineRule="atLeast"/>
        <w:ind w:left="810" w:hanging="90"/>
        <w:rPr>
          <w:sz w:val="22"/>
          <w:szCs w:val="22"/>
        </w:rPr>
      </w:pPr>
      <w:hyperlink r:id="rId13" w:history="1">
        <w:r w:rsidRPr="00CA2A3E">
          <w:rPr>
            <w:rStyle w:val="Hyperlink"/>
          </w:rPr>
          <w:t>alberto.difelice@digitaleurope.org</w:t>
        </w:r>
      </w:hyperlink>
      <w:r w:rsidRPr="00CA2A3E">
        <w:t xml:space="preserve"> </w:t>
      </w:r>
      <w:r w:rsidR="00A91F54" w:rsidRPr="00CA2A3E">
        <w:rPr>
          <w:sz w:val="22"/>
          <w:szCs w:val="22"/>
        </w:rPr>
        <w:t xml:space="preserve">/ </w:t>
      </w:r>
      <w:bookmarkStart w:id="30" w:name="_Toc6392482"/>
      <w:bookmarkStart w:id="31" w:name="_Toc6393039"/>
      <w:bookmarkStart w:id="32" w:name="_Toc6394018"/>
      <w:bookmarkStart w:id="33" w:name="_Toc6394109"/>
      <w:bookmarkStart w:id="34" w:name="_Toc6394388"/>
      <w:bookmarkStart w:id="35" w:name="_Toc6394673"/>
      <w:bookmarkStart w:id="36" w:name="_Toc6394698"/>
      <w:bookmarkStart w:id="37" w:name="_Toc6394726"/>
      <w:bookmarkStart w:id="38" w:name="_Toc7016687"/>
      <w:r w:rsidRPr="00CA2A3E">
        <w:rPr>
          <w:sz w:val="22"/>
          <w:szCs w:val="22"/>
        </w:rPr>
        <w:t>+32 471 99 34 25</w:t>
      </w:r>
    </w:p>
    <w:p w14:paraId="5A1571BA" w14:textId="77777777" w:rsidR="00F54463" w:rsidRPr="00CA2A3E" w:rsidRDefault="00F54463" w:rsidP="00B121B1">
      <w:pPr>
        <w:pStyle w:val="Body"/>
      </w:pPr>
    </w:p>
    <w:p w14:paraId="03B8C6DD" w14:textId="77777777" w:rsidR="00F54463" w:rsidRPr="00CA2A3E" w:rsidRDefault="00F54463" w:rsidP="00B121B1">
      <w:pPr>
        <w:pStyle w:val="Body"/>
      </w:pPr>
    </w:p>
    <w:p w14:paraId="62B1BB0A" w14:textId="77777777" w:rsidR="00F54463" w:rsidRPr="00CA2A3E" w:rsidRDefault="00F54463" w:rsidP="00B121B1">
      <w:pPr>
        <w:pStyle w:val="Body"/>
      </w:pPr>
    </w:p>
    <w:p w14:paraId="576155A8" w14:textId="77777777" w:rsidR="00F54463" w:rsidRPr="00CA2A3E" w:rsidRDefault="00F54463">
      <w:pPr>
        <w:rPr>
          <w:b/>
          <w:color w:val="003DD6" w:themeColor="accent1"/>
          <w:sz w:val="22"/>
          <w:szCs w:val="22"/>
        </w:rPr>
      </w:pPr>
    </w:p>
    <w:p w14:paraId="4C2004DE" w14:textId="77777777" w:rsidR="00F54463" w:rsidRPr="00CA2A3E" w:rsidRDefault="00F54463">
      <w:pPr>
        <w:rPr>
          <w:b/>
          <w:color w:val="003DD6" w:themeColor="accent1"/>
          <w:sz w:val="32"/>
          <w:szCs w:val="32"/>
        </w:rPr>
      </w:pPr>
      <w:r w:rsidRPr="00CA2A3E">
        <w:br w:type="page"/>
      </w:r>
    </w:p>
    <w:p w14:paraId="7DA9A663" w14:textId="77777777" w:rsidR="004B58FA" w:rsidRPr="000A66C7" w:rsidRDefault="004B58FA" w:rsidP="000A66C7">
      <w:pPr>
        <w:pStyle w:val="Heading1"/>
        <w:rPr>
          <w:shd w:val="clear" w:color="auto" w:fill="FFFFFF"/>
        </w:rPr>
      </w:pPr>
      <w:bookmarkStart w:id="39" w:name="_Toc184754760"/>
      <w:bookmarkStart w:id="40" w:name="_Toc184657720"/>
      <w:bookmarkEnd w:id="30"/>
      <w:bookmarkEnd w:id="31"/>
      <w:bookmarkEnd w:id="32"/>
      <w:bookmarkEnd w:id="33"/>
      <w:bookmarkEnd w:id="34"/>
      <w:bookmarkEnd w:id="35"/>
      <w:bookmarkEnd w:id="36"/>
      <w:bookmarkEnd w:id="37"/>
      <w:bookmarkEnd w:id="38"/>
      <w:r w:rsidRPr="000A66C7">
        <w:rPr>
          <w:shd w:val="clear" w:color="auto" w:fill="FFFFFF"/>
        </w:rPr>
        <w:lastRenderedPageBreak/>
        <w:t>Annex I: examples of successful cooperation through ISACs</w:t>
      </w:r>
      <w:bookmarkEnd w:id="39"/>
      <w:bookmarkEnd w:id="40"/>
    </w:p>
    <w:p w14:paraId="706129EF" w14:textId="6F54DE07" w:rsidR="004B58FA" w:rsidRPr="00CA2A3E" w:rsidRDefault="004B58FA" w:rsidP="000A66C7">
      <w:pPr>
        <w:pStyle w:val="Body"/>
      </w:pPr>
      <w:r w:rsidRPr="00CA2A3E">
        <w:t xml:space="preserve">Each of these incidents highlights the </w:t>
      </w:r>
      <w:proofErr w:type="gramStart"/>
      <w:r w:rsidRPr="00CA2A3E">
        <w:t>Health</w:t>
      </w:r>
      <w:proofErr w:type="gramEnd"/>
      <w:r w:rsidRPr="00CA2A3E">
        <w:t>-ISAC community</w:t>
      </w:r>
      <w:r w:rsidR="008C6D58">
        <w:t>’</w:t>
      </w:r>
      <w:r w:rsidRPr="00CA2A3E">
        <w:t>s rapid, collaborative response to cyber threats</w:t>
      </w:r>
      <w:r w:rsidR="004F637E" w:rsidRPr="00CA2A3E">
        <w:t xml:space="preserve">, </w:t>
      </w:r>
      <w:r w:rsidRPr="00CA2A3E">
        <w:t>an invaluable resource for keeping healthcare organisations resilient in the face of cyberattacks.</w:t>
      </w:r>
    </w:p>
    <w:p w14:paraId="5A92AD55" w14:textId="1933B0CE" w:rsidR="004B58FA" w:rsidRPr="000A66C7" w:rsidRDefault="004B58FA" w:rsidP="000A66C7">
      <w:pPr>
        <w:pStyle w:val="Boxedtext"/>
        <w:rPr>
          <w:b/>
        </w:rPr>
      </w:pPr>
      <w:r w:rsidRPr="00CA2A3E">
        <w:rPr>
          <w:b/>
          <w:bCs/>
        </w:rPr>
        <w:t>Petya/</w:t>
      </w:r>
      <w:proofErr w:type="spellStart"/>
      <w:r w:rsidRPr="00CA2A3E">
        <w:rPr>
          <w:b/>
          <w:bCs/>
        </w:rPr>
        <w:t>NotPetya</w:t>
      </w:r>
      <w:proofErr w:type="spellEnd"/>
      <w:r w:rsidRPr="00CA2A3E">
        <w:rPr>
          <w:b/>
          <w:bCs/>
        </w:rPr>
        <w:t xml:space="preserve"> </w:t>
      </w:r>
      <w:r w:rsidR="004F637E" w:rsidRPr="00CA2A3E">
        <w:rPr>
          <w:b/>
          <w:bCs/>
        </w:rPr>
        <w:t>attack sparks global response</w:t>
      </w:r>
    </w:p>
    <w:p w14:paraId="48108B4B" w14:textId="1D611CBC" w:rsidR="004B58FA" w:rsidRPr="00CA2A3E" w:rsidRDefault="004B58FA" w:rsidP="000A66C7">
      <w:pPr>
        <w:pStyle w:val="Boxedtext"/>
        <w:spacing w:after="0"/>
      </w:pPr>
      <w:r w:rsidRPr="00CA2A3E">
        <w:t>In June 2017, the Petya/</w:t>
      </w:r>
      <w:proofErr w:type="spellStart"/>
      <w:r w:rsidRPr="00CA2A3E">
        <w:t>NotPetya</w:t>
      </w:r>
      <w:proofErr w:type="spellEnd"/>
      <w:r w:rsidRPr="00CA2A3E">
        <w:t xml:space="preserve"> cyberattack hit Ukraine in a targeted strike that sent shockwaves around the world. Even organisations outside Ukraine felt the impact. As the attack unfolded, Health-ISAC</w:t>
      </w:r>
      <w:r w:rsidR="008C6D58">
        <w:t>’</w:t>
      </w:r>
      <w:r w:rsidRPr="00CA2A3E">
        <w:t>s Threat Intelligence Committee sprang into action, dissecting the malware</w:t>
      </w:r>
      <w:r w:rsidR="008C6D58">
        <w:t>’</w:t>
      </w:r>
      <w:r w:rsidRPr="00CA2A3E">
        <w:t xml:space="preserve">s entry points, affected sectors and key </w:t>
      </w:r>
      <w:r w:rsidR="00FC43A6" w:rsidRPr="00CA2A3E">
        <w:t>indicators of compromise</w:t>
      </w:r>
      <w:r w:rsidRPr="00CA2A3E">
        <w:t xml:space="preserve">. Collaboratively, member organisations developed a </w:t>
      </w:r>
      <w:r w:rsidR="008C6D58">
        <w:t>‘</w:t>
      </w:r>
      <w:r w:rsidRPr="00CA2A3E">
        <w:t>vaccine</w:t>
      </w:r>
      <w:r w:rsidR="008C6D58">
        <w:t>’</w:t>
      </w:r>
      <w:r w:rsidRPr="00CA2A3E">
        <w:t xml:space="preserve"> to halt the malware</w:t>
      </w:r>
      <w:r w:rsidR="008C6D58">
        <w:t>’</w:t>
      </w:r>
      <w:r w:rsidRPr="00CA2A3E">
        <w:t>s spread. After testing and confirming its efficacy, they shared the solution with the community, showcasing how Health-ISAC can rapidly unite the healthcare sector in the face of a global crisis.</w:t>
      </w:r>
    </w:p>
    <w:p w14:paraId="56011E2B" w14:textId="10891DEC" w:rsidR="004F637E" w:rsidRPr="00CA2A3E" w:rsidRDefault="004F637E" w:rsidP="004B58FA">
      <w:pPr>
        <w:pStyle w:val="Body"/>
      </w:pPr>
    </w:p>
    <w:p w14:paraId="04B7541C" w14:textId="193D1CAA" w:rsidR="004B58FA" w:rsidRPr="000A66C7" w:rsidRDefault="004B58FA" w:rsidP="000A66C7">
      <w:pPr>
        <w:pStyle w:val="Boxedtext"/>
        <w:spacing w:after="0"/>
        <w:rPr>
          <w:b/>
        </w:rPr>
      </w:pPr>
      <w:r w:rsidRPr="00CA2A3E">
        <w:rPr>
          <w:b/>
          <w:bCs/>
        </w:rPr>
        <w:t xml:space="preserve">Russian </w:t>
      </w:r>
      <w:r w:rsidR="004F637E" w:rsidRPr="00CA2A3E">
        <w:rPr>
          <w:b/>
          <w:bCs/>
        </w:rPr>
        <w:t>hacktivists target European hospitals</w:t>
      </w:r>
    </w:p>
    <w:p w14:paraId="2CE823B5" w14:textId="1A8AC8A4" w:rsidR="004B58FA" w:rsidRPr="00CA2A3E" w:rsidRDefault="004B58FA" w:rsidP="000A66C7">
      <w:pPr>
        <w:pStyle w:val="Boxedtext"/>
        <w:spacing w:after="0"/>
      </w:pPr>
      <w:r w:rsidRPr="00CA2A3E">
        <w:t>In January 2023, Russian hacktivists made waves by announcing on their Telegram channel plans to target European hospitals in retaliation for the EU</w:t>
      </w:r>
      <w:r w:rsidR="008C6D58">
        <w:t>’</w:t>
      </w:r>
      <w:r w:rsidRPr="00CA2A3E">
        <w:t>s support for Ukraine. Health-ISAC quickly mobilised, with analysts scouring Telegram for intel to protect vulnerable organisations. As the threat intensified, Health-ISAC shared the intelligence with both members and non-members, warning them of the potential for incoming attacks. Within 24 hours, the victim list was circulating on Twitter/X, and just two days later, a wave of DDoS attacks struck. Thanks to rapid collaboration, Health-ISAC helped healthcare organisations brace for impact, shining a spotlight on the importance of cross-sector information sharing.</w:t>
      </w:r>
    </w:p>
    <w:p w14:paraId="0C8553CF" w14:textId="46ECBD11" w:rsidR="004F637E" w:rsidRPr="00CA2A3E" w:rsidRDefault="004F637E" w:rsidP="004B58FA">
      <w:pPr>
        <w:pStyle w:val="Body"/>
      </w:pPr>
    </w:p>
    <w:p w14:paraId="60AEAFEB" w14:textId="4AB848B5" w:rsidR="004B58FA" w:rsidRPr="000A66C7" w:rsidRDefault="004B58FA" w:rsidP="000A66C7">
      <w:pPr>
        <w:pStyle w:val="Boxedtext"/>
        <w:rPr>
          <w:b/>
        </w:rPr>
      </w:pPr>
      <w:r w:rsidRPr="00CA2A3E">
        <w:rPr>
          <w:b/>
          <w:bCs/>
        </w:rPr>
        <w:t xml:space="preserve">CrowdStrike </w:t>
      </w:r>
      <w:r w:rsidR="004F637E" w:rsidRPr="00CA2A3E">
        <w:rPr>
          <w:b/>
          <w:bCs/>
        </w:rPr>
        <w:t>incident disrupts global healthcare systems</w:t>
      </w:r>
    </w:p>
    <w:p w14:paraId="104BB334" w14:textId="6E5BA8A9" w:rsidR="004B58FA" w:rsidRPr="00CA2A3E" w:rsidRDefault="004F637E" w:rsidP="000A66C7">
      <w:pPr>
        <w:pStyle w:val="Boxedtext"/>
      </w:pPr>
      <w:r w:rsidRPr="00CA2A3E">
        <w:t>In</w:t>
      </w:r>
      <w:r w:rsidR="004B58FA" w:rsidRPr="00CA2A3E">
        <w:t xml:space="preserve"> July 2023, Health-ISAC members in Australia and Asia Pacific reported an unusual issue: Microsoft Windows systems caught in a relentless reboot loop, creating major disruptions. The alert rippled across time zones, with European members logging on to a dedicated Slack channel to tackle the escalating IT outages. Within hours, over 500 members were actively discussing CrowdStrike</w:t>
      </w:r>
      <w:r w:rsidR="008C6D58">
        <w:t>’</w:t>
      </w:r>
      <w:r w:rsidR="004B58FA" w:rsidRPr="00CA2A3E">
        <w:t>s faulty update, sharing mitigation techniques and real-time solutions that were continuously refined through the weekend.</w:t>
      </w:r>
    </w:p>
    <w:p w14:paraId="43269CBE" w14:textId="4658CF3A" w:rsidR="004B58FA" w:rsidRPr="00CA2A3E" w:rsidRDefault="004B58FA" w:rsidP="000A66C7">
      <w:pPr>
        <w:pStyle w:val="Boxedtext"/>
      </w:pPr>
      <w:r w:rsidRPr="00CA2A3E">
        <w:lastRenderedPageBreak/>
        <w:t>The impact was massive: half of Health-ISAC</w:t>
      </w:r>
      <w:r w:rsidR="008C6D58">
        <w:t>’</w:t>
      </w:r>
      <w:r w:rsidRPr="00CA2A3E">
        <w:t xml:space="preserve">s global member organisations reported disruptions affecting phone systems, patient services, pharmacy orders, electronic records, billing and more. In a </w:t>
      </w:r>
      <w:r w:rsidR="00FC43A6" w:rsidRPr="00CA2A3E">
        <w:t xml:space="preserve">25 </w:t>
      </w:r>
      <w:r w:rsidRPr="00CA2A3E">
        <w:t>July webinar, CrowdStrike</w:t>
      </w:r>
      <w:r w:rsidR="008C6D58">
        <w:t>’</w:t>
      </w:r>
      <w:r w:rsidRPr="00CA2A3E">
        <w:t>s senior leadership engaged with nearly 900 Health-ISAC members, providing clarity, dispelling rumours and working to remediate the affected systems</w:t>
      </w:r>
      <w:r w:rsidR="00FC43A6" w:rsidRPr="00CA2A3E">
        <w:t>.</w:t>
      </w:r>
    </w:p>
    <w:p w14:paraId="4D15981C" w14:textId="2D41B1A8" w:rsidR="00E205D1" w:rsidRPr="00CA2A3E" w:rsidRDefault="004B58FA" w:rsidP="000A66C7">
      <w:pPr>
        <w:pStyle w:val="Boxedtext"/>
      </w:pPr>
      <w:r w:rsidRPr="00CA2A3E">
        <w:t>Meanwhile, cybercriminals wasted no time exploiting the situation, launching fake CrowdStrike support websites and phishing emails. Health-ISAC members quickly countered by sharing hundreds of malicious domains, showing the power of community vigilance in a sector-wide crisis.</w:t>
      </w:r>
      <w:r w:rsidR="00A91F54" w:rsidRPr="00CA2A3E">
        <w:br w:type="page"/>
      </w:r>
    </w:p>
    <w:p w14:paraId="507940A3" w14:textId="77777777" w:rsidR="00B93A8A" w:rsidRPr="00CA2A3E" w:rsidRDefault="00B93A8A" w:rsidP="00B121B1">
      <w:pPr>
        <w:pStyle w:val="Membershipaboutustitle"/>
        <w:sectPr w:rsidR="00B93A8A" w:rsidRPr="00CA2A3E" w:rsidSect="00DD152D">
          <w:headerReference w:type="even" r:id="rId14"/>
          <w:headerReference w:type="default" r:id="rId15"/>
          <w:footerReference w:type="default" r:id="rId16"/>
          <w:headerReference w:type="first" r:id="rId17"/>
          <w:footerReference w:type="first" r:id="rId18"/>
          <w:pgSz w:w="11906" w:h="16838" w:code="9"/>
          <w:pgMar w:top="1797" w:right="1440" w:bottom="1440" w:left="2880" w:header="720" w:footer="301" w:gutter="0"/>
          <w:cols w:space="720"/>
          <w:titlePg/>
          <w:docGrid w:linePitch="360"/>
        </w:sectPr>
      </w:pPr>
    </w:p>
    <w:p w14:paraId="56B19E95" w14:textId="77777777" w:rsidR="00796D12" w:rsidRPr="00CA2A3E" w:rsidRDefault="00796D12" w:rsidP="00B121B1">
      <w:pPr>
        <w:pStyle w:val="Membershipaboutustitle"/>
      </w:pPr>
      <w:r w:rsidRPr="00CA2A3E">
        <w:lastRenderedPageBreak/>
        <w:t>About DIGITALEUROPE</w:t>
      </w:r>
    </w:p>
    <w:p w14:paraId="771D8D25" w14:textId="1EAD230D" w:rsidR="00547CC0" w:rsidRPr="00CA2A3E" w:rsidRDefault="00547CC0" w:rsidP="00B121B1">
      <w:pPr>
        <w:pStyle w:val="Membershippageaboutustext"/>
      </w:pPr>
      <w:r w:rsidRPr="00CA2A3E">
        <w:t xml:space="preserve">DIGITALEUROPE is the leading trade association representing digitally transforming industries in Europe. </w:t>
      </w:r>
      <w:r w:rsidR="002063A3" w:rsidRPr="00CA2A3E">
        <w:t>We stand for a regulatory environment that enables European businesses and citizens to prosper from digital technologies. We wish Europe to grow, attract, and sustain the world</w:t>
      </w:r>
      <w:r w:rsidR="008C6D58">
        <w:t>’</w:t>
      </w:r>
      <w:r w:rsidR="002063A3" w:rsidRPr="00CA2A3E">
        <w:t>s best digital talents and technology companies. Together with our members, we shape the industry policy positions on all relevant legislative matters and contribute to the development and implementation of relevant EU policies. Our membership represents over 45,000 businesses that operate and invest in Europe. It includes 1</w:t>
      </w:r>
      <w:r w:rsidR="002826FF">
        <w:t>13</w:t>
      </w:r>
      <w:r w:rsidR="002063A3" w:rsidRPr="00CA2A3E">
        <w:t xml:space="preserve"> corporations that are global leaders in their field of activity, as well as 41 national trade associations from across Europe.</w:t>
      </w:r>
    </w:p>
    <w:p w14:paraId="43BCCE89" w14:textId="77777777" w:rsidR="00796D12" w:rsidRPr="00CA2A3E" w:rsidRDefault="00796D12" w:rsidP="00796D12">
      <w:pPr>
        <w:shd w:val="clear" w:color="auto" w:fill="FFFFFF"/>
        <w:spacing w:before="120" w:line="276" w:lineRule="auto"/>
        <w:ind w:left="720" w:hanging="360"/>
        <w:rPr>
          <w:rFonts w:eastAsia="Arial"/>
          <w:color w:val="000000"/>
          <w:sz w:val="10"/>
          <w:szCs w:val="10"/>
        </w:rPr>
      </w:pPr>
    </w:p>
    <w:p w14:paraId="3D4C2E9E" w14:textId="2361EC41" w:rsidR="00293D4E" w:rsidRPr="00CA2A3E" w:rsidRDefault="00293D4E" w:rsidP="000A66C7"/>
    <w:sectPr w:rsidR="00293D4E" w:rsidRPr="00CA2A3E" w:rsidSect="00C26DF8">
      <w:footerReference w:type="default" r:id="rId19"/>
      <w:type w:val="continuous"/>
      <w:pgSz w:w="11906" w:h="16838" w:code="9"/>
      <w:pgMar w:top="1800" w:right="1440" w:bottom="1440" w:left="2880" w:header="720"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B02A" w14:textId="77777777" w:rsidR="00613B90" w:rsidRDefault="00613B90" w:rsidP="00767D9E">
      <w:pPr>
        <w:spacing w:after="0" w:line="240" w:lineRule="auto"/>
      </w:pPr>
      <w:r>
        <w:separator/>
      </w:r>
    </w:p>
  </w:endnote>
  <w:endnote w:type="continuationSeparator" w:id="0">
    <w:p w14:paraId="07148BFF" w14:textId="77777777" w:rsidR="00613B90" w:rsidRDefault="00613B90" w:rsidP="00767D9E">
      <w:pPr>
        <w:spacing w:after="0" w:line="240" w:lineRule="auto"/>
      </w:pPr>
      <w:r>
        <w:continuationSeparator/>
      </w:r>
    </w:p>
  </w:endnote>
  <w:endnote w:type="continuationNotice" w:id="1">
    <w:p w14:paraId="77DEA84B" w14:textId="77777777" w:rsidR="00613B90" w:rsidRDefault="00613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A7ED" w14:textId="77777777" w:rsidR="002902E6" w:rsidRPr="00796D12" w:rsidRDefault="002902E6" w:rsidP="000633DF">
    <w:pPr>
      <w:pStyle w:val="Footer"/>
      <w:ind w:left="-1701"/>
      <w:rPr>
        <w:color w:val="003DD6"/>
      </w:rPr>
    </w:pPr>
  </w:p>
  <w:sdt>
    <w:sdtPr>
      <w:rPr>
        <w:color w:val="003DD6"/>
      </w:rPr>
      <w:id w:val="-216435439"/>
      <w:docPartObj>
        <w:docPartGallery w:val="Page Numbers (Bottom of Page)"/>
        <w:docPartUnique/>
      </w:docPartObj>
    </w:sdtPr>
    <w:sdtContent>
      <w:p w14:paraId="5065DCCE" w14:textId="77777777" w:rsidR="00BF7EC3" w:rsidRPr="002534A8" w:rsidRDefault="00BF7EC3" w:rsidP="00BF7EC3">
        <w:pPr>
          <w:pStyle w:val="Footer"/>
          <w:ind w:left="-1701"/>
          <w:rPr>
            <w:color w:val="003DD6"/>
          </w:rPr>
        </w:pPr>
      </w:p>
      <w:p w14:paraId="6ED49D08" w14:textId="77777777" w:rsidR="00767D9E" w:rsidRPr="00796D12" w:rsidRDefault="00000000" w:rsidP="000633DF">
        <w:pPr>
          <w:pStyle w:val="Footer"/>
          <w:rPr>
            <w:color w:val="003DD6"/>
          </w:rPr>
        </w:pPr>
      </w:p>
    </w:sdtContent>
  </w:sdt>
  <w:p w14:paraId="6D991FB5" w14:textId="77777777" w:rsidR="00767D9E" w:rsidRDefault="00767D9E" w:rsidP="00C8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369A" w14:textId="77777777" w:rsidR="00BF7EC3" w:rsidRDefault="00E10F86" w:rsidP="00BF7EC3">
    <w:pPr>
      <w:pStyle w:val="Footer"/>
    </w:pPr>
    <w:r>
      <w:tab/>
    </w:r>
  </w:p>
  <w:sdt>
    <w:sdtPr>
      <w:rPr>
        <w:b/>
        <w:color w:val="003DD6"/>
      </w:rPr>
      <w:id w:val="1548256634"/>
      <w:docPartObj>
        <w:docPartGallery w:val="Page Numbers (Bottom of Page)"/>
        <w:docPartUnique/>
      </w:docPartObj>
    </w:sdtPr>
    <w:sdtEndPr>
      <w:rPr>
        <w:b w:val="0"/>
        <w:noProof/>
        <w:color w:val="404040"/>
        <w:sz w:val="16"/>
        <w:szCs w:val="16"/>
      </w:rPr>
    </w:sdtEndPr>
    <w:sdtContent>
      <w:p w14:paraId="274C6D97" w14:textId="77777777" w:rsidR="00BF7EC3" w:rsidRPr="000A66C7" w:rsidRDefault="00BF7EC3" w:rsidP="00796D12">
        <w:pPr>
          <w:pStyle w:val="Footer"/>
          <w:pBdr>
            <w:top w:val="dashSmallGap" w:sz="4" w:space="6" w:color="003DD6"/>
          </w:pBdr>
          <w:rPr>
            <w:b/>
            <w:color w:val="2441D7"/>
            <w:sz w:val="16"/>
            <w:lang w:val="fr-FR"/>
          </w:rPr>
        </w:pPr>
        <w:r w:rsidRPr="000A66C7">
          <w:rPr>
            <w:b/>
            <w:color w:val="2441D7"/>
            <w:sz w:val="16"/>
            <w:lang w:val="fr-FR"/>
          </w:rPr>
          <w:t xml:space="preserve">DIGITALEUROPE </w:t>
        </w:r>
      </w:p>
      <w:p w14:paraId="3A1503CF" w14:textId="77777777" w:rsidR="00BF7EC3" w:rsidRPr="00796D12" w:rsidRDefault="00BF7EC3" w:rsidP="00796D12">
        <w:pPr>
          <w:pStyle w:val="Footer"/>
          <w:pBdr>
            <w:top w:val="dashSmallGap" w:sz="4" w:space="6" w:color="003DD6"/>
          </w:pBdr>
          <w:rPr>
            <w:color w:val="404040"/>
            <w:sz w:val="16"/>
            <w:szCs w:val="16"/>
            <w:lang w:val="fr-BE"/>
          </w:rPr>
        </w:pPr>
        <w:r w:rsidRPr="00796D12">
          <w:rPr>
            <w:color w:val="404040"/>
            <w:sz w:val="16"/>
            <w:szCs w:val="16"/>
            <w:lang w:val="fr-BE"/>
          </w:rPr>
          <w:t xml:space="preserve">Rue de la Science, </w:t>
        </w:r>
        <w:r w:rsidR="00EA1FE0">
          <w:rPr>
            <w:color w:val="404040"/>
            <w:sz w:val="16"/>
            <w:szCs w:val="16"/>
            <w:lang w:val="fr-BE"/>
          </w:rPr>
          <w:t>37</w:t>
        </w:r>
        <w:r w:rsidRPr="00796D12">
          <w:rPr>
            <w:color w:val="404040"/>
            <w:sz w:val="16"/>
            <w:szCs w:val="16"/>
            <w:lang w:val="fr-BE"/>
          </w:rPr>
          <w:t>, B-1040 Brussels</w:t>
        </w:r>
      </w:p>
      <w:p w14:paraId="534000C1" w14:textId="3EB4F264" w:rsidR="00BF7EC3" w:rsidRPr="00B2033A" w:rsidRDefault="00BF7EC3" w:rsidP="00796D12">
        <w:pPr>
          <w:pStyle w:val="Footer"/>
          <w:pBdr>
            <w:top w:val="dashSmallGap" w:sz="4" w:space="6" w:color="003DD6"/>
          </w:pBdr>
          <w:rPr>
            <w:color w:val="404040"/>
            <w:sz w:val="16"/>
            <w:szCs w:val="16"/>
          </w:rPr>
        </w:pPr>
        <w:r w:rsidRPr="00B2033A">
          <w:rPr>
            <w:color w:val="404040"/>
            <w:sz w:val="16"/>
            <w:szCs w:val="16"/>
          </w:rPr>
          <w:t xml:space="preserve">T.+32 (0) 2 609 53 10 / </w:t>
        </w:r>
        <w:hyperlink r:id="rId1" w:history="1">
          <w:r w:rsidRPr="00B2033A">
            <w:rPr>
              <w:rStyle w:val="Hyperlink"/>
              <w:sz w:val="16"/>
              <w:szCs w:val="16"/>
            </w:rPr>
            <w:t>www.digitaleurope.org</w:t>
          </w:r>
        </w:hyperlink>
        <w:r w:rsidRPr="00B2033A">
          <w:rPr>
            <w:color w:val="404040"/>
            <w:sz w:val="16"/>
            <w:szCs w:val="16"/>
          </w:rPr>
          <w:t xml:space="preserve"> / </w:t>
        </w:r>
        <w:r w:rsidR="007B03A6">
          <w:rPr>
            <w:noProof/>
          </w:rPr>
          <w:drawing>
            <wp:anchor distT="0" distB="0" distL="114300" distR="114300" simplePos="0" relativeHeight="251673600" behindDoc="1" locked="0" layoutInCell="1" allowOverlap="1" wp14:anchorId="43270AE9" wp14:editId="4BDA60A4">
              <wp:simplePos x="0" y="0"/>
              <wp:positionH relativeFrom="column">
                <wp:posOffset>2155190</wp:posOffset>
              </wp:positionH>
              <wp:positionV relativeFrom="paragraph">
                <wp:posOffset>15240</wp:posOffset>
              </wp:positionV>
              <wp:extent cx="88900" cy="81915"/>
              <wp:effectExtent l="0" t="0" r="6350" b="0"/>
              <wp:wrapNone/>
              <wp:docPr id="5" name="Picture 4" descr="/var/folders/1s/b9jnrpdd7l33dqxkkvw1yqth0000gn/T/com.microsoft.Word/WebArchiveCopyPasteTempFiles/cidimage001.png@01D4D987.27244DD0">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2" name="Picture 4" descr="/var/folders/1s/b9jnrpdd7l33dqxkkvw1yqth0000gn/T/com.microsoft.Word/WebArchiveCopyPasteTempFiles/cidimage001.png@01D4D987.27244DD0">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 cy="81915"/>
                      </a:xfrm>
                      <a:prstGeom prst="rect">
                        <a:avLst/>
                      </a:prstGeom>
                      <a:noFill/>
                      <a:ln>
                        <a:noFill/>
                      </a:ln>
                    </pic:spPr>
                  </pic:pic>
                </a:graphicData>
              </a:graphic>
            </wp:anchor>
          </w:drawing>
        </w:r>
        <w:r w:rsidR="00E205D1" w:rsidRPr="00B2033A">
          <w:rPr>
            <w:color w:val="404040"/>
            <w:sz w:val="16"/>
            <w:szCs w:val="16"/>
          </w:rPr>
          <w:t xml:space="preserve"> </w:t>
        </w:r>
        <w:r w:rsidR="00BF3495" w:rsidRPr="00B2033A">
          <w:rPr>
            <w:color w:val="404040"/>
            <w:sz w:val="16"/>
            <w:szCs w:val="16"/>
          </w:rPr>
          <w:t xml:space="preserve">   </w:t>
        </w:r>
        <w:r w:rsidRPr="00B2033A">
          <w:rPr>
            <w:color w:val="003DD6"/>
            <w:sz w:val="16"/>
            <w:szCs w:val="16"/>
          </w:rPr>
          <w:t>@DIGITALEUROPE</w:t>
        </w:r>
      </w:p>
      <w:p w14:paraId="5969BCCF" w14:textId="77777777" w:rsidR="0063451D" w:rsidRPr="007F7DC7" w:rsidRDefault="00BF7EC3" w:rsidP="007F7DC7">
        <w:pPr>
          <w:pStyle w:val="Footer"/>
          <w:pBdr>
            <w:top w:val="dashSmallGap" w:sz="4" w:space="6" w:color="003DD6"/>
          </w:pBdr>
          <w:rPr>
            <w:color w:val="2441D7"/>
            <w:sz w:val="16"/>
            <w:szCs w:val="16"/>
          </w:rPr>
        </w:pPr>
        <w:r w:rsidRPr="00796D12">
          <w:rPr>
            <w:color w:val="404040"/>
            <w:sz w:val="16"/>
            <w:szCs w:val="16"/>
          </w:rPr>
          <w:t>EU Transparency Register: 64270747023-20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5D09" w14:textId="77777777" w:rsidR="009E639F" w:rsidRPr="00796D12" w:rsidRDefault="009E639F" w:rsidP="000633DF">
    <w:pPr>
      <w:pStyle w:val="Footer"/>
      <w:ind w:left="-1701"/>
      <w:rPr>
        <w:color w:val="003DD6"/>
      </w:rPr>
    </w:pPr>
  </w:p>
  <w:sdt>
    <w:sdtPr>
      <w:rPr>
        <w:color w:val="003DD6"/>
      </w:rPr>
      <w:id w:val="620268433"/>
      <w:docPartObj>
        <w:docPartGallery w:val="Page Numbers (Bottom of Page)"/>
        <w:docPartUnique/>
      </w:docPartObj>
    </w:sdtPr>
    <w:sdtContent>
      <w:p w14:paraId="30F903E7" w14:textId="77777777" w:rsidR="009E639F" w:rsidRPr="000A66C7" w:rsidRDefault="009E639F" w:rsidP="00BF7EC3">
        <w:pPr>
          <w:pStyle w:val="Footer"/>
          <w:ind w:left="-1701"/>
          <w:rPr>
            <w:color w:val="003DD6"/>
          </w:rPr>
        </w:pPr>
      </w:p>
      <w:p w14:paraId="5C178264" w14:textId="77777777" w:rsidR="009E639F" w:rsidRPr="00796D12" w:rsidRDefault="00000000" w:rsidP="000633DF">
        <w:pPr>
          <w:pStyle w:val="Footer"/>
          <w:rPr>
            <w:color w:val="003DD6"/>
          </w:rPr>
        </w:pPr>
      </w:p>
    </w:sdtContent>
  </w:sdt>
  <w:p w14:paraId="0CF22F7E" w14:textId="77777777" w:rsidR="009E639F" w:rsidRDefault="009E639F" w:rsidP="00C8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23202" w14:textId="77777777" w:rsidR="00613B90" w:rsidRPr="0010530B" w:rsidRDefault="00613B90" w:rsidP="0010530B">
      <w:pPr>
        <w:pBdr>
          <w:top w:val="dashSmallGap" w:sz="4" w:space="8" w:color="003DD6" w:themeColor="accent1"/>
        </w:pBdr>
        <w:spacing w:after="0" w:line="240" w:lineRule="auto"/>
        <w:rPr>
          <w:sz w:val="6"/>
          <w:szCs w:val="6"/>
        </w:rPr>
      </w:pPr>
    </w:p>
  </w:footnote>
  <w:footnote w:type="continuationSeparator" w:id="0">
    <w:p w14:paraId="2AFBE5EB" w14:textId="77777777" w:rsidR="00613B90" w:rsidRDefault="00613B90" w:rsidP="00767D9E">
      <w:pPr>
        <w:spacing w:after="0" w:line="240" w:lineRule="auto"/>
      </w:pPr>
      <w:r>
        <w:continuationSeparator/>
      </w:r>
    </w:p>
  </w:footnote>
  <w:footnote w:type="continuationNotice" w:id="1">
    <w:p w14:paraId="308CE76E" w14:textId="77777777" w:rsidR="00613B90" w:rsidRDefault="00613B90">
      <w:pPr>
        <w:spacing w:after="0" w:line="240" w:lineRule="auto"/>
      </w:pPr>
    </w:p>
  </w:footnote>
  <w:footnote w:id="2">
    <w:p w14:paraId="77B896BB" w14:textId="55B46CF4" w:rsidR="009E7CB6" w:rsidRDefault="009E7CB6">
      <w:pPr>
        <w:pStyle w:val="FootnoteText"/>
      </w:pPr>
      <w:r>
        <w:rPr>
          <w:rStyle w:val="FootnoteReference"/>
        </w:rPr>
        <w:footnoteRef/>
      </w:r>
      <w:r>
        <w:t xml:space="preserve"> See </w:t>
      </w:r>
      <w:r w:rsidRPr="009E7CB6">
        <w:rPr>
          <w:i/>
          <w:iCs/>
        </w:rPr>
        <w:t>ENISA threat landscape: health sector</w:t>
      </w:r>
      <w:r>
        <w:t xml:space="preserve">, July 2023, available at </w:t>
      </w:r>
      <w:hyperlink r:id="rId1" w:history="1">
        <w:r w:rsidRPr="00921487">
          <w:rPr>
            <w:rStyle w:val="Hyperlink"/>
          </w:rPr>
          <w:t>https://www.enisa.europa.eu/sites/default/files/publications/Health%20Threat%20Landscape.pdf</w:t>
        </w:r>
      </w:hyperlink>
      <w:r>
        <w:t>.</w:t>
      </w:r>
    </w:p>
  </w:footnote>
  <w:footnote w:id="3">
    <w:p w14:paraId="67F031F4" w14:textId="0D37DB6E" w:rsidR="003C15C5" w:rsidRDefault="003C15C5">
      <w:pPr>
        <w:pStyle w:val="FootnoteText"/>
      </w:pPr>
      <w:r>
        <w:rPr>
          <w:rStyle w:val="FootnoteReference"/>
        </w:rPr>
        <w:footnoteRef/>
      </w:r>
      <w:r>
        <w:t xml:space="preserve"> </w:t>
      </w:r>
      <w:hyperlink r:id="rId2" w:history="1">
        <w:r w:rsidRPr="00921487">
          <w:rPr>
            <w:rStyle w:val="Hyperlink"/>
          </w:rPr>
          <w:t>https://commission.europa.eu/document/download/e6cd4328-673c-4e7a-8683-f63ffb2cf648_en?filename=Political%20Guidelines%202024-2029_EN.pdf</w:t>
        </w:r>
      </w:hyperlink>
      <w:r>
        <w:t>.</w:t>
      </w:r>
    </w:p>
  </w:footnote>
  <w:footnote w:id="4">
    <w:p w14:paraId="1DF6132E" w14:textId="09B35990" w:rsidR="007A6CA7" w:rsidRDefault="007A6CA7">
      <w:pPr>
        <w:pStyle w:val="FootnoteText"/>
      </w:pPr>
      <w:r>
        <w:rPr>
          <w:rStyle w:val="FootnoteReference"/>
        </w:rPr>
        <w:footnoteRef/>
      </w:r>
      <w:r>
        <w:t xml:space="preserve"> The French</w:t>
      </w:r>
      <w:r w:rsidRPr="007A6CA7">
        <w:t xml:space="preserve"> </w:t>
      </w:r>
      <w:proofErr w:type="spellStart"/>
      <w:r w:rsidRPr="007A6CA7">
        <w:t>CaRE</w:t>
      </w:r>
      <w:proofErr w:type="spellEnd"/>
      <w:r>
        <w:t xml:space="preserve"> action plan</w:t>
      </w:r>
      <w:r w:rsidRPr="007A6CA7">
        <w:t xml:space="preserve"> aims to strengthen cybersecurity in healthcare, with €250</w:t>
      </w:r>
      <w:r>
        <w:t xml:space="preserve"> million</w:t>
      </w:r>
      <w:r w:rsidRPr="007A6CA7">
        <w:t xml:space="preserve"> allocated until 2025 and a total goal of €750</w:t>
      </w:r>
      <w:r>
        <w:t xml:space="preserve"> million</w:t>
      </w:r>
      <w:r w:rsidRPr="007A6CA7">
        <w:t xml:space="preserve"> by 2027. Initial funding of €60</w:t>
      </w:r>
      <w:r>
        <w:t xml:space="preserve"> million</w:t>
      </w:r>
      <w:r w:rsidRPr="007A6CA7">
        <w:t xml:space="preserve"> </w:t>
      </w:r>
      <w:r>
        <w:t>is</w:t>
      </w:r>
      <w:r w:rsidRPr="007A6CA7">
        <w:t xml:space="preserve"> support</w:t>
      </w:r>
      <w:r>
        <w:t>ing</w:t>
      </w:r>
      <w:r w:rsidRPr="007A6CA7">
        <w:t xml:space="preserve"> hospitals in implementing remediation plans to address vulnerabilities and mitigate risks.</w:t>
      </w:r>
      <w:r>
        <w:t xml:space="preserve"> More information is available (in French) at </w:t>
      </w:r>
      <w:hyperlink r:id="rId3" w:history="1">
        <w:r w:rsidRPr="00921487">
          <w:rPr>
            <w:rStyle w:val="Hyperlink"/>
          </w:rPr>
          <w:t>https://esante.gouv.fr/espace-presse/presentation-du-programme-care</w:t>
        </w:r>
      </w:hyperlink>
      <w:r>
        <w:t>.</w:t>
      </w:r>
    </w:p>
  </w:footnote>
  <w:footnote w:id="5">
    <w:p w14:paraId="49997A43" w14:textId="2A3A587E" w:rsidR="00A04831" w:rsidRPr="00224CE2" w:rsidRDefault="00A04831">
      <w:pPr>
        <w:pStyle w:val="FootnoteText"/>
      </w:pPr>
      <w:r>
        <w:rPr>
          <w:rStyle w:val="FootnoteReference"/>
        </w:rPr>
        <w:footnoteRef/>
      </w:r>
      <w:r w:rsidRPr="00224CE2">
        <w:t xml:space="preserve"> </w:t>
      </w:r>
      <w:r w:rsidRPr="00224CE2">
        <w:t>Directive (EU) 2022/2555.</w:t>
      </w:r>
    </w:p>
  </w:footnote>
  <w:footnote w:id="6">
    <w:p w14:paraId="1F32593E" w14:textId="6A04A781" w:rsidR="00F67B35" w:rsidRPr="00224CE2" w:rsidRDefault="00F67B35">
      <w:pPr>
        <w:pStyle w:val="FootnoteText"/>
      </w:pPr>
      <w:r>
        <w:rPr>
          <w:rStyle w:val="FootnoteReference"/>
        </w:rPr>
        <w:footnoteRef/>
      </w:r>
      <w:r w:rsidRPr="00224CE2">
        <w:t xml:space="preserve"> Directive (EU) 2022/2555, Regulation (EU) 2019/881 and </w:t>
      </w:r>
      <w:r w:rsidR="005D2EE5" w:rsidRPr="00224CE2">
        <w:t>COM(2023) 209 final.</w:t>
      </w:r>
    </w:p>
  </w:footnote>
  <w:footnote w:id="7">
    <w:p w14:paraId="19EB8C08" w14:textId="07D3B2B3" w:rsidR="00AB7B38" w:rsidRDefault="00AB7B38">
      <w:pPr>
        <w:pStyle w:val="FootnoteText"/>
      </w:pPr>
      <w:r>
        <w:rPr>
          <w:rStyle w:val="FootnoteReference"/>
        </w:rPr>
        <w:footnoteRef/>
      </w:r>
      <w:r>
        <w:t xml:space="preserve"> </w:t>
      </w:r>
      <w:r w:rsidRPr="00AB7B38">
        <w:t>EU Health ISAC</w:t>
      </w:r>
      <w:r>
        <w:t xml:space="preserve"> (see </w:t>
      </w:r>
      <w:hyperlink r:id="rId4" w:history="1">
        <w:r w:rsidRPr="00921487">
          <w:rPr>
            <w:rStyle w:val="Hyperlink"/>
          </w:rPr>
          <w:t>https://www.isacs.eu/</w:t>
        </w:r>
      </w:hyperlink>
      <w:r>
        <w:t xml:space="preserve">) </w:t>
      </w:r>
      <w:r w:rsidRPr="00AB7B38">
        <w:t>and Health</w:t>
      </w:r>
      <w:r w:rsidR="004B58FA">
        <w:t>-</w:t>
      </w:r>
      <w:r w:rsidRPr="00AB7B38">
        <w:t>ISAC</w:t>
      </w:r>
      <w:r>
        <w:t xml:space="preserve"> (see </w:t>
      </w:r>
      <w:hyperlink r:id="rId5" w:history="1">
        <w:r w:rsidRPr="00921487">
          <w:rPr>
            <w:rStyle w:val="Hyperlink"/>
          </w:rPr>
          <w:t>https://h-isac.org</w:t>
        </w:r>
      </w:hyperlink>
      <w:r>
        <w:t>).</w:t>
      </w:r>
    </w:p>
  </w:footnote>
  <w:footnote w:id="8">
    <w:p w14:paraId="72395C77" w14:textId="0C3C54FB" w:rsidR="003E5AE7" w:rsidRDefault="003E5AE7">
      <w:pPr>
        <w:pStyle w:val="FootnoteText"/>
      </w:pPr>
      <w:r>
        <w:rPr>
          <w:rStyle w:val="FootnoteReference"/>
        </w:rPr>
        <w:footnoteRef/>
      </w:r>
      <w:r>
        <w:t xml:space="preserve"> </w:t>
      </w:r>
      <w:r w:rsidRPr="003E5AE7">
        <w:t>Directive (EU) 2022/2557</w:t>
      </w:r>
      <w:r>
        <w:t>.</w:t>
      </w:r>
    </w:p>
  </w:footnote>
  <w:footnote w:id="9">
    <w:p w14:paraId="7174D833" w14:textId="7C4D078F" w:rsidR="004C3898" w:rsidRDefault="004C3898">
      <w:pPr>
        <w:pStyle w:val="FootnoteText"/>
      </w:pPr>
      <w:r>
        <w:rPr>
          <w:rStyle w:val="FootnoteReference"/>
        </w:rPr>
        <w:footnoteRef/>
      </w:r>
      <w:r>
        <w:t xml:space="preserve"> These include, amongst others: </w:t>
      </w:r>
      <w:r w:rsidRPr="004C3898">
        <w:t xml:space="preserve">risk management and security measures; incidence reporting; governance and accountability structures to support cybersecurity risk management; supply chain and third-party vendor management; business continuity and crisis management plans; </w:t>
      </w:r>
      <w:r>
        <w:t xml:space="preserve">and </w:t>
      </w:r>
      <w:r w:rsidRPr="004C3898">
        <w:t>security and awareness training</w:t>
      </w:r>
      <w:r>
        <w:t>.</w:t>
      </w:r>
    </w:p>
  </w:footnote>
  <w:footnote w:id="10">
    <w:p w14:paraId="5FCEEFFB" w14:textId="0A30FF99" w:rsidR="006C4DFB" w:rsidRDefault="006C4DFB" w:rsidP="006C4DFB">
      <w:pPr>
        <w:pStyle w:val="FootnoteText"/>
      </w:pPr>
      <w:r>
        <w:rPr>
          <w:rStyle w:val="FootnoteReference"/>
        </w:rPr>
        <w:footnoteRef/>
      </w:r>
      <w:r>
        <w:t xml:space="preserve"> </w:t>
      </w:r>
      <w:r w:rsidRPr="00396AB5">
        <w:t>Regulation</w:t>
      </w:r>
      <w:r>
        <w:t>s</w:t>
      </w:r>
      <w:r w:rsidRPr="00396AB5">
        <w:t xml:space="preserve"> (EU) 2017/745 </w:t>
      </w:r>
      <w:r>
        <w:t xml:space="preserve">and </w:t>
      </w:r>
      <w:r w:rsidRPr="00396AB5">
        <w:t>2017/746</w:t>
      </w:r>
      <w:r>
        <w:t>, covering</w:t>
      </w:r>
      <w:r w:rsidRPr="00396AB5">
        <w:t xml:space="preserve"> medical devices </w:t>
      </w:r>
      <w:r>
        <w:t xml:space="preserve">and </w:t>
      </w:r>
      <w:r w:rsidRPr="00396AB5">
        <w:t>in</w:t>
      </w:r>
      <w:r>
        <w:t>-</w:t>
      </w:r>
      <w:r w:rsidRPr="00396AB5">
        <w:t>vitro diagnostic medical device</w:t>
      </w:r>
      <w:r>
        <w:t xml:space="preserve">s; </w:t>
      </w:r>
      <w:proofErr w:type="gramStart"/>
      <w:r w:rsidRPr="00396AB5">
        <w:t>COM(</w:t>
      </w:r>
      <w:proofErr w:type="gramEnd"/>
      <w:r w:rsidRPr="00396AB5">
        <w:t>2022) 197 final</w:t>
      </w:r>
      <w:r>
        <w:t xml:space="preserve">, awaiting publication in the Official Journal of the EU; and </w:t>
      </w:r>
      <w:r w:rsidRPr="006C4DFB">
        <w:t>Regulation (EU) 2024/2847</w:t>
      </w:r>
      <w:r>
        <w:t>, respectively.</w:t>
      </w:r>
    </w:p>
  </w:footnote>
  <w:footnote w:id="11">
    <w:p w14:paraId="59994D3A" w14:textId="7A1DB705" w:rsidR="009D0756" w:rsidRDefault="009D0756">
      <w:pPr>
        <w:pStyle w:val="FootnoteText"/>
      </w:pPr>
      <w:r>
        <w:rPr>
          <w:rStyle w:val="FootnoteReference"/>
        </w:rPr>
        <w:footnoteRef/>
      </w:r>
      <w:r>
        <w:t xml:space="preserve"> See, for example, </w:t>
      </w:r>
      <w:r w:rsidRPr="009D0756">
        <w:t>Cyber Ireland</w:t>
      </w:r>
      <w:r w:rsidR="008C6D58">
        <w:t>’</w:t>
      </w:r>
      <w:r w:rsidRPr="009D0756">
        <w:t>s Cybersecurity Roadmap for micro-enterprises</w:t>
      </w:r>
      <w:r>
        <w:t xml:space="preserve">, available at </w:t>
      </w:r>
      <w:hyperlink r:id="rId6" w:anchor="/" w:history="1">
        <w:r w:rsidRPr="00921487">
          <w:rPr>
            <w:rStyle w:val="Hyperlink"/>
          </w:rPr>
          <w:t>https://cyberireland.ie/cybersecurity-roadmap.html#/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000138"/>
      <w:docPartObj>
        <w:docPartGallery w:val="Page Numbers (Top of Page)"/>
        <w:docPartUnique/>
      </w:docPartObj>
    </w:sdtPr>
    <w:sdtEndPr>
      <w:rPr>
        <w:noProof/>
      </w:rPr>
    </w:sdtEndPr>
    <w:sdtContent>
      <w:p w14:paraId="21CCA727" w14:textId="4AEA8D72" w:rsidR="006C0FFB" w:rsidRDefault="006C0FFB" w:rsidP="006C0FFB">
        <w:pPr>
          <w:pStyle w:val="Header"/>
          <w:ind w:hanging="1530"/>
          <w:rPr>
            <w:noProof/>
          </w:rPr>
        </w:pPr>
        <w:r w:rsidRPr="00796D12">
          <w:rPr>
            <w:noProof/>
            <w:color w:val="003DD6"/>
          </w:rPr>
          <w:drawing>
            <wp:anchor distT="0" distB="0" distL="114300" distR="114300" simplePos="0" relativeHeight="251672576" behindDoc="1" locked="0" layoutInCell="1" allowOverlap="1" wp14:anchorId="3DA280A1" wp14:editId="1E2D73E3">
              <wp:simplePos x="0" y="0"/>
              <wp:positionH relativeFrom="margin">
                <wp:posOffset>-61940</wp:posOffset>
              </wp:positionH>
              <wp:positionV relativeFrom="paragraph">
                <wp:posOffset>-140335</wp:posOffset>
              </wp:positionV>
              <wp:extent cx="1158357" cy="323850"/>
              <wp:effectExtent l="0" t="0" r="3810" b="0"/>
              <wp:wrapNone/>
              <wp:docPr id="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158357" cy="3238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796D12">
          <w:rPr>
            <w:color w:val="003DD6"/>
          </w:rPr>
          <w:fldChar w:fldCharType="begin"/>
        </w:r>
        <w:r w:rsidRPr="00796D12">
          <w:rPr>
            <w:color w:val="003DD6"/>
          </w:rPr>
          <w:instrText xml:space="preserve"> PAGE   \* MERGEFORMAT </w:instrText>
        </w:r>
        <w:r w:rsidRPr="00796D12">
          <w:rPr>
            <w:color w:val="003DD6"/>
          </w:rPr>
          <w:fldChar w:fldCharType="separate"/>
        </w:r>
        <w:r w:rsidRPr="00796D12">
          <w:rPr>
            <w:color w:val="003DD6"/>
          </w:rPr>
          <w:t>3</w:t>
        </w:r>
        <w:r w:rsidRPr="00796D12">
          <w:rPr>
            <w:noProof/>
            <w:color w:val="003DD6"/>
          </w:rPr>
          <w:fldChar w:fldCharType="end"/>
        </w:r>
        <w:r w:rsidRPr="000633DF">
          <w:rPr>
            <w:noProof/>
          </w:rPr>
          <w:t xml:space="preserve"> </w:t>
        </w:r>
      </w:p>
    </w:sdtContent>
  </w:sdt>
  <w:p w14:paraId="43353B24" w14:textId="77777777" w:rsidR="006C1190" w:rsidRDefault="006C1190">
    <w:pPr>
      <w:pStyle w:val="Header"/>
    </w:pPr>
  </w:p>
  <w:p w14:paraId="6C2AA1DA" w14:textId="77777777" w:rsidR="0086776A" w:rsidRDefault="0086776A"/>
  <w:p w14:paraId="3A9016DD" w14:textId="77777777" w:rsidR="0086776A" w:rsidRDefault="0086776A"/>
  <w:p w14:paraId="44CA0110" w14:textId="77777777" w:rsidR="0086776A" w:rsidRDefault="008677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429030"/>
      <w:docPartObj>
        <w:docPartGallery w:val="Page Numbers (Top of Page)"/>
        <w:docPartUnique/>
      </w:docPartObj>
    </w:sdtPr>
    <w:sdtEndPr>
      <w:rPr>
        <w:noProof/>
      </w:rPr>
    </w:sdtEndPr>
    <w:sdtContent>
      <w:p w14:paraId="1924D00A" w14:textId="473ABBCD" w:rsidR="0086776A" w:rsidRDefault="000633DF" w:rsidP="00495900">
        <w:pPr>
          <w:pStyle w:val="Header"/>
          <w:ind w:hanging="1620"/>
        </w:pPr>
        <w:r w:rsidRPr="00796D12">
          <w:rPr>
            <w:noProof/>
            <w:color w:val="003DD6"/>
          </w:rPr>
          <w:drawing>
            <wp:anchor distT="0" distB="0" distL="114300" distR="114300" simplePos="0" relativeHeight="251669504" behindDoc="1" locked="0" layoutInCell="1" allowOverlap="1" wp14:anchorId="50C3854F" wp14:editId="77DE0A3A">
              <wp:simplePos x="0" y="0"/>
              <wp:positionH relativeFrom="margin">
                <wp:posOffset>-50800</wp:posOffset>
              </wp:positionH>
              <wp:positionV relativeFrom="paragraph">
                <wp:posOffset>-143510</wp:posOffset>
              </wp:positionV>
              <wp:extent cx="1158240" cy="323850"/>
              <wp:effectExtent l="0" t="0" r="3810" b="0"/>
              <wp:wrapNone/>
              <wp:docPr id="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158240" cy="323850"/>
                      </a:xfrm>
                      <a:prstGeom prst="rect">
                        <a:avLst/>
                      </a:prstGeom>
                    </pic:spPr>
                  </pic:pic>
                </a:graphicData>
              </a:graphic>
              <wp14:sizeRelH relativeFrom="page">
                <wp14:pctWidth>0</wp14:pctWidth>
              </wp14:sizeRelH>
              <wp14:sizeRelV relativeFrom="page">
                <wp14:pctHeight>0</wp14:pctHeight>
              </wp14:sizeRelV>
            </wp:anchor>
          </w:drawing>
        </w:r>
        <w:r w:rsidRPr="00796D12">
          <w:rPr>
            <w:color w:val="003DD6"/>
          </w:rPr>
          <w:fldChar w:fldCharType="begin"/>
        </w:r>
        <w:r w:rsidRPr="00796D12">
          <w:rPr>
            <w:color w:val="003DD6"/>
          </w:rPr>
          <w:instrText xml:space="preserve"> PAGE   \* MERGEFORMAT </w:instrText>
        </w:r>
        <w:r w:rsidRPr="00796D12">
          <w:rPr>
            <w:color w:val="003DD6"/>
          </w:rPr>
          <w:fldChar w:fldCharType="separate"/>
        </w:r>
        <w:r w:rsidRPr="00796D12">
          <w:rPr>
            <w:noProof/>
            <w:color w:val="003DD6"/>
          </w:rPr>
          <w:t>2</w:t>
        </w:r>
        <w:r w:rsidRPr="00796D12">
          <w:rPr>
            <w:noProof/>
            <w:color w:val="003DD6"/>
          </w:rPr>
          <w:fldChar w:fldCharType="end"/>
        </w:r>
        <w:r w:rsidRPr="000633DF">
          <w:rPr>
            <w:noProof/>
          </w:rPr>
          <w:t xml:space="preserve"> </w:t>
        </w:r>
      </w:p>
    </w:sdtContent>
  </w:sdt>
  <w:p w14:paraId="344DC7D4" w14:textId="77777777" w:rsidR="0086776A" w:rsidRDefault="0086776A"/>
  <w:p w14:paraId="26F7F2B3" w14:textId="77777777" w:rsidR="0086776A" w:rsidRDefault="008677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A660" w14:textId="7081F851" w:rsidR="00745242" w:rsidRDefault="00077544">
    <w:pPr>
      <w:pStyle w:val="Header"/>
    </w:pPr>
    <w:r>
      <w:rPr>
        <w:noProof/>
      </w:rPr>
      <w:drawing>
        <wp:anchor distT="0" distB="0" distL="114300" distR="114300" simplePos="0" relativeHeight="251670528" behindDoc="1" locked="0" layoutInCell="1" allowOverlap="1" wp14:anchorId="1C3B4DCE" wp14:editId="2A249F8B">
          <wp:simplePos x="0" y="0"/>
          <wp:positionH relativeFrom="column">
            <wp:posOffset>3510220</wp:posOffset>
          </wp:positionH>
          <wp:positionV relativeFrom="paragraph">
            <wp:posOffset>-323850</wp:posOffset>
          </wp:positionV>
          <wp:extent cx="2071816" cy="1497097"/>
          <wp:effectExtent l="0" t="0" r="508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816" cy="1497097"/>
                  </a:xfrm>
                  <a:prstGeom prst="rect">
                    <a:avLst/>
                  </a:prstGeom>
                  <a:noFill/>
                  <a:ln>
                    <a:noFill/>
                  </a:ln>
                </pic:spPr>
              </pic:pic>
            </a:graphicData>
          </a:graphic>
          <wp14:sizeRelH relativeFrom="page">
            <wp14:pctWidth>0</wp14:pctWidth>
          </wp14:sizeRelH>
          <wp14:sizeRelV relativeFrom="page">
            <wp14:pctHeight>0</wp14:pctHeight>
          </wp14:sizeRelV>
        </wp:anchor>
      </w:drawing>
    </w:r>
    <w:r w:rsidR="00D7288E" w:rsidRPr="00745242">
      <w:rPr>
        <w:noProof/>
      </w:rPr>
      <w:drawing>
        <wp:anchor distT="0" distB="0" distL="114300" distR="114300" simplePos="0" relativeHeight="251666432" behindDoc="0" locked="0" layoutInCell="1" allowOverlap="1" wp14:anchorId="5A096AD1" wp14:editId="3653AD2B">
          <wp:simplePos x="0" y="0"/>
          <wp:positionH relativeFrom="column">
            <wp:posOffset>-1602740</wp:posOffset>
          </wp:positionH>
          <wp:positionV relativeFrom="paragraph">
            <wp:posOffset>-231775</wp:posOffset>
          </wp:positionV>
          <wp:extent cx="2244725" cy="628650"/>
          <wp:effectExtent l="0" t="0" r="3175" b="0"/>
          <wp:wrapThrough wrapText="bothSides">
            <wp:wrapPolygon edited="0">
              <wp:start x="0" y="0"/>
              <wp:lineTo x="0" y="20945"/>
              <wp:lineTo x="21447" y="20945"/>
              <wp:lineTo x="21447" y="0"/>
              <wp:lineTo x="0" y="0"/>
            </wp:wrapPolygon>
          </wp:wrapThrough>
          <wp:docPr id="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GITALEUROPE logo (white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2244725" cy="6286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T3UfZDZBYlEoH" int2:id="kq0OW8H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5.65pt;height:31.15pt;visibility:visible;mso-wrap-style:square" o:bullet="t">
        <v:imagedata r:id="rId1" o:title=""/>
      </v:shape>
    </w:pict>
  </w:numPicBullet>
  <w:numPicBullet w:numPicBulletId="1">
    <w:pict>
      <v:shape id="_x0000_i1077" type="#_x0000_t75" style="width:19.9pt;height:16.9pt" o:bullet="t">
        <v:imagedata r:id="rId2" o:title="bullet point (1)"/>
      </v:shape>
    </w:pict>
  </w:numPicBullet>
  <w:numPicBullet w:numPicBulletId="2">
    <w:pict>
      <v:shape id="_x0000_i1078" type="#_x0000_t75" style="width:100.9pt;height:16.15pt" o:bullet="t">
        <v:imagedata r:id="rId3" o:title="Asset 9@2x"/>
      </v:shape>
    </w:pict>
  </w:numPicBullet>
  <w:numPicBullet w:numPicBulletId="3">
    <w:pict>
      <v:shape id="_x0000_i1079" type="#_x0000_t75" style="width:900pt;height:900pt" o:bullet="t">
        <v:imagedata r:id="rId4" o:title="noun_Quote_2409407_00e4e1"/>
      </v:shape>
    </w:pict>
  </w:numPicBullet>
  <w:numPicBullet w:numPicBulletId="4">
    <w:pict>
      <v:shape id="_x0000_i1080" type="#_x0000_t75" style="width:900pt;height:900pt" o:bullet="t">
        <v:imagedata r:id="rId5" o:title="noun_Quote_2409407_003dd6"/>
      </v:shape>
    </w:pict>
  </w:numPicBullet>
  <w:numPicBullet w:numPicBulletId="5">
    <w:pict>
      <v:shape id="_x0000_i1081" type="#_x0000_t75" style="width:1186.15pt;height:1036.15pt" o:bullet="t">
        <v:imagedata r:id="rId6" o:title="Bullet point small"/>
      </v:shape>
    </w:pict>
  </w:numPicBullet>
  <w:numPicBullet w:numPicBulletId="6">
    <w:pict>
      <v:shape id="_x0000_i1082" type="#_x0000_t75" style="width:1360.15pt;height:220.9pt" o:bullet="t">
        <v:imagedata r:id="rId7" o:title="Bullet point large"/>
      </v:shape>
    </w:pict>
  </w:numPicBullet>
  <w:numPicBullet w:numPicBulletId="7">
    <w:pict>
      <v:shape id="_x0000_i1083" type="#_x0000_t75" style="width:959.25pt;height:345pt" o:bullet="t">
        <v:imagedata r:id="rId8" o:title="Bullet point large v2"/>
      </v:shape>
    </w:pict>
  </w:numPicBullet>
  <w:numPicBullet w:numPicBulletId="8">
    <w:pict>
      <v:shape id="_x0000_i1084" type="#_x0000_t75" style="width:1360.15pt;height:220.9pt" o:bullet="t">
        <v:imagedata r:id="rId9" o:title="Bullet point large (1)"/>
      </v:shape>
    </w:pict>
  </w:numPicBullet>
  <w:numPicBullet w:numPicBulletId="9">
    <w:pict>
      <v:shape id="_x0000_i1085" type="#_x0000_t75" style="width:130.9pt;height:126pt" o:bullet="t">
        <v:imagedata r:id="rId10" o:title="Artboard 9"/>
      </v:shape>
    </w:pict>
  </w:numPicBullet>
  <w:abstractNum w:abstractNumId="0" w15:restartNumberingAfterBreak="0">
    <w:nsid w:val="0178171E"/>
    <w:multiLevelType w:val="hybridMultilevel"/>
    <w:tmpl w:val="02500756"/>
    <w:lvl w:ilvl="0" w:tplc="DC1A8FA6">
      <w:start w:val="1"/>
      <w:numFmt w:val="bullet"/>
      <w:pStyle w:val="Heading1-shapes"/>
      <w:lvlText w:val=""/>
      <w:lvlPicBulletId w:val="2"/>
      <w:lvlJc w:val="left"/>
      <w:pPr>
        <w:ind w:left="2563" w:hanging="692"/>
      </w:pPr>
      <w:rPr>
        <w:rFonts w:ascii="Symbol" w:hAnsi="Symbol" w:hint="default"/>
        <w:b/>
        <w:i w:val="0"/>
        <w:color w:val="auto"/>
        <w:sz w:val="22"/>
      </w:rPr>
    </w:lvl>
    <w:lvl w:ilvl="1" w:tplc="040C0003">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 w15:restartNumberingAfterBreak="0">
    <w:nsid w:val="116D4387"/>
    <w:multiLevelType w:val="hybridMultilevel"/>
    <w:tmpl w:val="90545E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4F3161"/>
    <w:multiLevelType w:val="hybridMultilevel"/>
    <w:tmpl w:val="143218E2"/>
    <w:lvl w:ilvl="0" w:tplc="3C86332A">
      <w:start w:val="1"/>
      <w:numFmt w:val="bullet"/>
      <w:pStyle w:val="Contactinformationname"/>
      <w:lvlText w:val=""/>
      <w:lvlPicBulletId w:val="9"/>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81892"/>
    <w:multiLevelType w:val="hybridMultilevel"/>
    <w:tmpl w:val="06EA79A0"/>
    <w:lvl w:ilvl="0" w:tplc="8542C74E">
      <w:start w:val="1"/>
      <w:numFmt w:val="bullet"/>
      <w:pStyle w:val="Heading1-DE"/>
      <w:lvlText w:val=""/>
      <w:lvlPicBulletId w:val="8"/>
      <w:lvlJc w:val="left"/>
      <w:pPr>
        <w:ind w:left="720" w:hanging="360"/>
      </w:pPr>
      <w:rPr>
        <w:rFonts w:ascii="Symbol" w:hAnsi="Symbol" w:hint="default"/>
        <w:color w:val="auto"/>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F6A26"/>
    <w:multiLevelType w:val="hybridMultilevel"/>
    <w:tmpl w:val="A9580A8C"/>
    <w:lvl w:ilvl="0" w:tplc="D736CE0A">
      <w:start w:val="1"/>
      <w:numFmt w:val="bullet"/>
      <w:pStyle w:val="Blockquote"/>
      <w:lvlText w:val=""/>
      <w:lvlPicBulletId w:val="4"/>
      <w:lvlJc w:val="left"/>
      <w:pPr>
        <w:ind w:left="2007" w:hanging="360"/>
      </w:pPr>
      <w:rPr>
        <w:rFonts w:ascii="Symbol" w:hAnsi="Symbol" w:hint="default"/>
        <w:color w:val="auto"/>
        <w:sz w:val="44"/>
        <w:szCs w:val="44"/>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2E714ECB"/>
    <w:multiLevelType w:val="hybridMultilevel"/>
    <w:tmpl w:val="D7A45BEE"/>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0245BE"/>
    <w:multiLevelType w:val="hybridMultilevel"/>
    <w:tmpl w:val="A978F16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747155"/>
    <w:multiLevelType w:val="hybridMultilevel"/>
    <w:tmpl w:val="2C762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912B1D"/>
    <w:multiLevelType w:val="hybridMultilevel"/>
    <w:tmpl w:val="F0AA3F40"/>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BBA031C"/>
    <w:multiLevelType w:val="hybridMultilevel"/>
    <w:tmpl w:val="D4E86E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BE50178"/>
    <w:multiLevelType w:val="hybridMultilevel"/>
    <w:tmpl w:val="EA8213CA"/>
    <w:lvl w:ilvl="0" w:tplc="79E81D2A">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0BA55AB"/>
    <w:multiLevelType w:val="hybridMultilevel"/>
    <w:tmpl w:val="4C7CA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ACC31B8"/>
    <w:multiLevelType w:val="hybridMultilevel"/>
    <w:tmpl w:val="FC584D10"/>
    <w:lvl w:ilvl="0" w:tplc="8CB0AFA4">
      <w:start w:val="1"/>
      <w:numFmt w:val="bullet"/>
      <w:lvlText w:val=""/>
      <w:lvlPicBulletId w:val="1"/>
      <w:lvlJc w:val="left"/>
      <w:pPr>
        <w:ind w:left="5400" w:hanging="360"/>
      </w:pPr>
      <w:rPr>
        <w:rFonts w:ascii="Symbol" w:hAnsi="Symbol" w:hint="default"/>
        <w:b/>
        <w:i w:val="0"/>
        <w:color w:val="auto"/>
        <w:sz w:val="22"/>
      </w:rPr>
    </w:lvl>
    <w:lvl w:ilvl="1" w:tplc="040C0003">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4680" w:hanging="360"/>
      </w:pPr>
      <w:rPr>
        <w:rFonts w:ascii="Wingdings" w:hAnsi="Wingdings" w:hint="default"/>
      </w:rPr>
    </w:lvl>
    <w:lvl w:ilvl="3" w:tplc="8CB0AFA4">
      <w:start w:val="1"/>
      <w:numFmt w:val="bullet"/>
      <w:lvlText w:val=""/>
      <w:lvlPicBulletId w:val="1"/>
      <w:lvlJc w:val="left"/>
      <w:pPr>
        <w:ind w:left="2880" w:hanging="360"/>
      </w:pPr>
      <w:rPr>
        <w:rFonts w:ascii="Symbol" w:hAnsi="Symbol" w:hint="default"/>
        <w:b/>
        <w:i w:val="0"/>
        <w:color w:val="auto"/>
        <w:sz w:val="22"/>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3" w15:restartNumberingAfterBreak="0">
    <w:nsid w:val="56DD1D8C"/>
    <w:multiLevelType w:val="hybridMultilevel"/>
    <w:tmpl w:val="46601F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AB2C74"/>
    <w:multiLevelType w:val="hybridMultilevel"/>
    <w:tmpl w:val="53EA8804"/>
    <w:lvl w:ilvl="0" w:tplc="80C6D084">
      <w:start w:val="1"/>
      <w:numFmt w:val="bullet"/>
      <w:lvlText w:val=""/>
      <w:lvlPicBulletId w:val="0"/>
      <w:lvlJc w:val="left"/>
      <w:pPr>
        <w:tabs>
          <w:tab w:val="num" w:pos="720"/>
        </w:tabs>
        <w:ind w:left="720" w:hanging="360"/>
      </w:pPr>
      <w:rPr>
        <w:rFonts w:ascii="Symbol" w:hAnsi="Symbol" w:hint="default"/>
      </w:rPr>
    </w:lvl>
    <w:lvl w:ilvl="1" w:tplc="E2626496" w:tentative="1">
      <w:start w:val="1"/>
      <w:numFmt w:val="bullet"/>
      <w:lvlText w:val=""/>
      <w:lvlJc w:val="left"/>
      <w:pPr>
        <w:tabs>
          <w:tab w:val="num" w:pos="1440"/>
        </w:tabs>
        <w:ind w:left="1440" w:hanging="360"/>
      </w:pPr>
      <w:rPr>
        <w:rFonts w:ascii="Symbol" w:hAnsi="Symbol" w:hint="default"/>
      </w:rPr>
    </w:lvl>
    <w:lvl w:ilvl="2" w:tplc="3A4AABE0" w:tentative="1">
      <w:start w:val="1"/>
      <w:numFmt w:val="bullet"/>
      <w:lvlText w:val=""/>
      <w:lvlJc w:val="left"/>
      <w:pPr>
        <w:tabs>
          <w:tab w:val="num" w:pos="2160"/>
        </w:tabs>
        <w:ind w:left="2160" w:hanging="360"/>
      </w:pPr>
      <w:rPr>
        <w:rFonts w:ascii="Symbol" w:hAnsi="Symbol" w:hint="default"/>
      </w:rPr>
    </w:lvl>
    <w:lvl w:ilvl="3" w:tplc="628C00BC" w:tentative="1">
      <w:start w:val="1"/>
      <w:numFmt w:val="bullet"/>
      <w:lvlText w:val=""/>
      <w:lvlJc w:val="left"/>
      <w:pPr>
        <w:tabs>
          <w:tab w:val="num" w:pos="2880"/>
        </w:tabs>
        <w:ind w:left="2880" w:hanging="360"/>
      </w:pPr>
      <w:rPr>
        <w:rFonts w:ascii="Symbol" w:hAnsi="Symbol" w:hint="default"/>
      </w:rPr>
    </w:lvl>
    <w:lvl w:ilvl="4" w:tplc="6BB80806" w:tentative="1">
      <w:start w:val="1"/>
      <w:numFmt w:val="bullet"/>
      <w:lvlText w:val=""/>
      <w:lvlJc w:val="left"/>
      <w:pPr>
        <w:tabs>
          <w:tab w:val="num" w:pos="3600"/>
        </w:tabs>
        <w:ind w:left="3600" w:hanging="360"/>
      </w:pPr>
      <w:rPr>
        <w:rFonts w:ascii="Symbol" w:hAnsi="Symbol" w:hint="default"/>
      </w:rPr>
    </w:lvl>
    <w:lvl w:ilvl="5" w:tplc="1E4C9FCE" w:tentative="1">
      <w:start w:val="1"/>
      <w:numFmt w:val="bullet"/>
      <w:lvlText w:val=""/>
      <w:lvlJc w:val="left"/>
      <w:pPr>
        <w:tabs>
          <w:tab w:val="num" w:pos="4320"/>
        </w:tabs>
        <w:ind w:left="4320" w:hanging="360"/>
      </w:pPr>
      <w:rPr>
        <w:rFonts w:ascii="Symbol" w:hAnsi="Symbol" w:hint="default"/>
      </w:rPr>
    </w:lvl>
    <w:lvl w:ilvl="6" w:tplc="2A8478EE" w:tentative="1">
      <w:start w:val="1"/>
      <w:numFmt w:val="bullet"/>
      <w:lvlText w:val=""/>
      <w:lvlJc w:val="left"/>
      <w:pPr>
        <w:tabs>
          <w:tab w:val="num" w:pos="5040"/>
        </w:tabs>
        <w:ind w:left="5040" w:hanging="360"/>
      </w:pPr>
      <w:rPr>
        <w:rFonts w:ascii="Symbol" w:hAnsi="Symbol" w:hint="default"/>
      </w:rPr>
    </w:lvl>
    <w:lvl w:ilvl="7" w:tplc="CA18AFFE" w:tentative="1">
      <w:start w:val="1"/>
      <w:numFmt w:val="bullet"/>
      <w:lvlText w:val=""/>
      <w:lvlJc w:val="left"/>
      <w:pPr>
        <w:tabs>
          <w:tab w:val="num" w:pos="5760"/>
        </w:tabs>
        <w:ind w:left="5760" w:hanging="360"/>
      </w:pPr>
      <w:rPr>
        <w:rFonts w:ascii="Symbol" w:hAnsi="Symbol" w:hint="default"/>
      </w:rPr>
    </w:lvl>
    <w:lvl w:ilvl="8" w:tplc="4D96FF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B6B536D"/>
    <w:multiLevelType w:val="hybridMultilevel"/>
    <w:tmpl w:val="AF92E8B0"/>
    <w:lvl w:ilvl="0" w:tplc="279039B8">
      <w:start w:val="1"/>
      <w:numFmt w:val="bullet"/>
      <w:pStyle w:val="Bulletpoint"/>
      <w:lvlText w:val=""/>
      <w:lvlPicBulletId w:val="5"/>
      <w:lvlJc w:val="left"/>
      <w:pPr>
        <w:ind w:left="720" w:hanging="360"/>
      </w:pPr>
      <w:rPr>
        <w:rFonts w:ascii="Symbol" w:hAnsi="Symbol" w:hint="default"/>
        <w:color w:val="auto"/>
        <w:sz w:val="36"/>
        <w:szCs w:val="36"/>
      </w:rPr>
    </w:lvl>
    <w:lvl w:ilvl="1" w:tplc="2EC80D12">
      <w:start w:val="1"/>
      <w:numFmt w:val="bullet"/>
      <w:lvlText w:val="▪"/>
      <w:lvlJc w:val="left"/>
      <w:pPr>
        <w:ind w:left="1440" w:hanging="360"/>
      </w:pPr>
      <w:rPr>
        <w:rFonts w:ascii="Courier New" w:hAnsi="Courier New" w:hint="default"/>
        <w:color w:val="003DD6" w:themeColor="accent1"/>
        <w:sz w:val="30"/>
        <w:szCs w:val="3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E3265"/>
    <w:multiLevelType w:val="hybridMultilevel"/>
    <w:tmpl w:val="B770DD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0B13E3D"/>
    <w:multiLevelType w:val="hybridMultilevel"/>
    <w:tmpl w:val="63C6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54B63"/>
    <w:multiLevelType w:val="hybridMultilevel"/>
    <w:tmpl w:val="FFCE0BB8"/>
    <w:lvl w:ilvl="0" w:tplc="FF9EF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127BC"/>
    <w:multiLevelType w:val="hybridMultilevel"/>
    <w:tmpl w:val="3CFE2858"/>
    <w:lvl w:ilvl="0" w:tplc="2B06F442">
      <w:start w:val="1"/>
      <w:numFmt w:val="decimal"/>
      <w:lvlText w:val="%1)"/>
      <w:lvlJc w:val="left"/>
      <w:pPr>
        <w:ind w:left="1020" w:hanging="360"/>
      </w:pPr>
    </w:lvl>
    <w:lvl w:ilvl="1" w:tplc="439C2190">
      <w:start w:val="1"/>
      <w:numFmt w:val="decimal"/>
      <w:lvlText w:val="%2)"/>
      <w:lvlJc w:val="left"/>
      <w:pPr>
        <w:ind w:left="1020" w:hanging="360"/>
      </w:pPr>
    </w:lvl>
    <w:lvl w:ilvl="2" w:tplc="1CA2D4E4">
      <w:start w:val="1"/>
      <w:numFmt w:val="decimal"/>
      <w:lvlText w:val="%3)"/>
      <w:lvlJc w:val="left"/>
      <w:pPr>
        <w:ind w:left="1020" w:hanging="360"/>
      </w:pPr>
    </w:lvl>
    <w:lvl w:ilvl="3" w:tplc="DF182784">
      <w:start w:val="1"/>
      <w:numFmt w:val="decimal"/>
      <w:lvlText w:val="%4)"/>
      <w:lvlJc w:val="left"/>
      <w:pPr>
        <w:ind w:left="1020" w:hanging="360"/>
      </w:pPr>
    </w:lvl>
    <w:lvl w:ilvl="4" w:tplc="36329560">
      <w:start w:val="1"/>
      <w:numFmt w:val="decimal"/>
      <w:lvlText w:val="%5)"/>
      <w:lvlJc w:val="left"/>
      <w:pPr>
        <w:ind w:left="1020" w:hanging="360"/>
      </w:pPr>
    </w:lvl>
    <w:lvl w:ilvl="5" w:tplc="2B70E1BA">
      <w:start w:val="1"/>
      <w:numFmt w:val="decimal"/>
      <w:lvlText w:val="%6)"/>
      <w:lvlJc w:val="left"/>
      <w:pPr>
        <w:ind w:left="1020" w:hanging="360"/>
      </w:pPr>
    </w:lvl>
    <w:lvl w:ilvl="6" w:tplc="556EF61A">
      <w:start w:val="1"/>
      <w:numFmt w:val="decimal"/>
      <w:lvlText w:val="%7)"/>
      <w:lvlJc w:val="left"/>
      <w:pPr>
        <w:ind w:left="1020" w:hanging="360"/>
      </w:pPr>
    </w:lvl>
    <w:lvl w:ilvl="7" w:tplc="E5102CEE">
      <w:start w:val="1"/>
      <w:numFmt w:val="decimal"/>
      <w:lvlText w:val="%8)"/>
      <w:lvlJc w:val="left"/>
      <w:pPr>
        <w:ind w:left="1020" w:hanging="360"/>
      </w:pPr>
    </w:lvl>
    <w:lvl w:ilvl="8" w:tplc="FD9E36E8">
      <w:start w:val="1"/>
      <w:numFmt w:val="decimal"/>
      <w:lvlText w:val="%9)"/>
      <w:lvlJc w:val="left"/>
      <w:pPr>
        <w:ind w:left="1020" w:hanging="360"/>
      </w:pPr>
    </w:lvl>
  </w:abstractNum>
  <w:abstractNum w:abstractNumId="20" w15:restartNumberingAfterBreak="0">
    <w:nsid w:val="6D5F1956"/>
    <w:multiLevelType w:val="hybridMultilevel"/>
    <w:tmpl w:val="65888C44"/>
    <w:lvl w:ilvl="0" w:tplc="A2424356">
      <w:start w:val="1"/>
      <w:numFmt w:val="bullet"/>
      <w:lvlText w:val=""/>
      <w:lvlPicBulletId w:val="0"/>
      <w:lvlJc w:val="left"/>
      <w:pPr>
        <w:tabs>
          <w:tab w:val="num" w:pos="720"/>
        </w:tabs>
        <w:ind w:left="720" w:hanging="360"/>
      </w:pPr>
      <w:rPr>
        <w:rFonts w:ascii="Symbol" w:hAnsi="Symbol" w:hint="default"/>
      </w:rPr>
    </w:lvl>
    <w:lvl w:ilvl="1" w:tplc="B3041148" w:tentative="1">
      <w:start w:val="1"/>
      <w:numFmt w:val="bullet"/>
      <w:lvlText w:val=""/>
      <w:lvlJc w:val="left"/>
      <w:pPr>
        <w:tabs>
          <w:tab w:val="num" w:pos="1440"/>
        </w:tabs>
        <w:ind w:left="1440" w:hanging="360"/>
      </w:pPr>
      <w:rPr>
        <w:rFonts w:ascii="Symbol" w:hAnsi="Symbol" w:hint="default"/>
      </w:rPr>
    </w:lvl>
    <w:lvl w:ilvl="2" w:tplc="5EF2DE66" w:tentative="1">
      <w:start w:val="1"/>
      <w:numFmt w:val="bullet"/>
      <w:lvlText w:val=""/>
      <w:lvlJc w:val="left"/>
      <w:pPr>
        <w:tabs>
          <w:tab w:val="num" w:pos="2160"/>
        </w:tabs>
        <w:ind w:left="2160" w:hanging="360"/>
      </w:pPr>
      <w:rPr>
        <w:rFonts w:ascii="Symbol" w:hAnsi="Symbol" w:hint="default"/>
      </w:rPr>
    </w:lvl>
    <w:lvl w:ilvl="3" w:tplc="A224C9D6" w:tentative="1">
      <w:start w:val="1"/>
      <w:numFmt w:val="bullet"/>
      <w:lvlText w:val=""/>
      <w:lvlJc w:val="left"/>
      <w:pPr>
        <w:tabs>
          <w:tab w:val="num" w:pos="2880"/>
        </w:tabs>
        <w:ind w:left="2880" w:hanging="360"/>
      </w:pPr>
      <w:rPr>
        <w:rFonts w:ascii="Symbol" w:hAnsi="Symbol" w:hint="default"/>
      </w:rPr>
    </w:lvl>
    <w:lvl w:ilvl="4" w:tplc="D1FC6B8E" w:tentative="1">
      <w:start w:val="1"/>
      <w:numFmt w:val="bullet"/>
      <w:lvlText w:val=""/>
      <w:lvlJc w:val="left"/>
      <w:pPr>
        <w:tabs>
          <w:tab w:val="num" w:pos="3600"/>
        </w:tabs>
        <w:ind w:left="3600" w:hanging="360"/>
      </w:pPr>
      <w:rPr>
        <w:rFonts w:ascii="Symbol" w:hAnsi="Symbol" w:hint="default"/>
      </w:rPr>
    </w:lvl>
    <w:lvl w:ilvl="5" w:tplc="9CCE23C2" w:tentative="1">
      <w:start w:val="1"/>
      <w:numFmt w:val="bullet"/>
      <w:lvlText w:val=""/>
      <w:lvlJc w:val="left"/>
      <w:pPr>
        <w:tabs>
          <w:tab w:val="num" w:pos="4320"/>
        </w:tabs>
        <w:ind w:left="4320" w:hanging="360"/>
      </w:pPr>
      <w:rPr>
        <w:rFonts w:ascii="Symbol" w:hAnsi="Symbol" w:hint="default"/>
      </w:rPr>
    </w:lvl>
    <w:lvl w:ilvl="6" w:tplc="279049B0" w:tentative="1">
      <w:start w:val="1"/>
      <w:numFmt w:val="bullet"/>
      <w:lvlText w:val=""/>
      <w:lvlJc w:val="left"/>
      <w:pPr>
        <w:tabs>
          <w:tab w:val="num" w:pos="5040"/>
        </w:tabs>
        <w:ind w:left="5040" w:hanging="360"/>
      </w:pPr>
      <w:rPr>
        <w:rFonts w:ascii="Symbol" w:hAnsi="Symbol" w:hint="default"/>
      </w:rPr>
    </w:lvl>
    <w:lvl w:ilvl="7" w:tplc="76F27D22" w:tentative="1">
      <w:start w:val="1"/>
      <w:numFmt w:val="bullet"/>
      <w:lvlText w:val=""/>
      <w:lvlJc w:val="left"/>
      <w:pPr>
        <w:tabs>
          <w:tab w:val="num" w:pos="5760"/>
        </w:tabs>
        <w:ind w:left="5760" w:hanging="360"/>
      </w:pPr>
      <w:rPr>
        <w:rFonts w:ascii="Symbol" w:hAnsi="Symbol" w:hint="default"/>
      </w:rPr>
    </w:lvl>
    <w:lvl w:ilvl="8" w:tplc="078A9DD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D88465D"/>
    <w:multiLevelType w:val="hybridMultilevel"/>
    <w:tmpl w:val="4B94EA60"/>
    <w:lvl w:ilvl="0" w:tplc="EA426298">
      <w:start w:val="1"/>
      <w:numFmt w:val="bullet"/>
      <w:lvlText w:val=""/>
      <w:lvlPicBulletId w:val="3"/>
      <w:lvlJc w:val="left"/>
      <w:pPr>
        <w:ind w:left="1287" w:hanging="360"/>
      </w:pPr>
      <w:rPr>
        <w:rFonts w:ascii="Symbol" w:hAnsi="Symbol" w:hint="default"/>
        <w:color w:val="auto"/>
        <w:sz w:val="120"/>
        <w:szCs w:val="1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50926BD"/>
    <w:multiLevelType w:val="hybridMultilevel"/>
    <w:tmpl w:val="A2CACDFC"/>
    <w:lvl w:ilvl="0" w:tplc="B7DAA396">
      <w:start w:val="1"/>
      <w:numFmt w:val="decimal"/>
      <w:lvlText w:val="%1)"/>
      <w:lvlJc w:val="left"/>
      <w:pPr>
        <w:ind w:left="1020" w:hanging="360"/>
      </w:pPr>
    </w:lvl>
    <w:lvl w:ilvl="1" w:tplc="2C121D6C">
      <w:start w:val="1"/>
      <w:numFmt w:val="decimal"/>
      <w:lvlText w:val="%2)"/>
      <w:lvlJc w:val="left"/>
      <w:pPr>
        <w:ind w:left="1020" w:hanging="360"/>
      </w:pPr>
    </w:lvl>
    <w:lvl w:ilvl="2" w:tplc="13AAB2CA">
      <w:start w:val="1"/>
      <w:numFmt w:val="decimal"/>
      <w:lvlText w:val="%3)"/>
      <w:lvlJc w:val="left"/>
      <w:pPr>
        <w:ind w:left="1020" w:hanging="360"/>
      </w:pPr>
    </w:lvl>
    <w:lvl w:ilvl="3" w:tplc="931AAFB4">
      <w:start w:val="1"/>
      <w:numFmt w:val="decimal"/>
      <w:lvlText w:val="%4)"/>
      <w:lvlJc w:val="left"/>
      <w:pPr>
        <w:ind w:left="1020" w:hanging="360"/>
      </w:pPr>
    </w:lvl>
    <w:lvl w:ilvl="4" w:tplc="1B3A0206">
      <w:start w:val="1"/>
      <w:numFmt w:val="decimal"/>
      <w:lvlText w:val="%5)"/>
      <w:lvlJc w:val="left"/>
      <w:pPr>
        <w:ind w:left="1020" w:hanging="360"/>
      </w:pPr>
    </w:lvl>
    <w:lvl w:ilvl="5" w:tplc="13C85C04">
      <w:start w:val="1"/>
      <w:numFmt w:val="decimal"/>
      <w:lvlText w:val="%6)"/>
      <w:lvlJc w:val="left"/>
      <w:pPr>
        <w:ind w:left="1020" w:hanging="360"/>
      </w:pPr>
    </w:lvl>
    <w:lvl w:ilvl="6" w:tplc="61B2703A">
      <w:start w:val="1"/>
      <w:numFmt w:val="decimal"/>
      <w:lvlText w:val="%7)"/>
      <w:lvlJc w:val="left"/>
      <w:pPr>
        <w:ind w:left="1020" w:hanging="360"/>
      </w:pPr>
    </w:lvl>
    <w:lvl w:ilvl="7" w:tplc="E830321C">
      <w:start w:val="1"/>
      <w:numFmt w:val="decimal"/>
      <w:lvlText w:val="%8)"/>
      <w:lvlJc w:val="left"/>
      <w:pPr>
        <w:ind w:left="1020" w:hanging="360"/>
      </w:pPr>
    </w:lvl>
    <w:lvl w:ilvl="8" w:tplc="D89A162C">
      <w:start w:val="1"/>
      <w:numFmt w:val="decimal"/>
      <w:lvlText w:val="%9)"/>
      <w:lvlJc w:val="left"/>
      <w:pPr>
        <w:ind w:left="1020" w:hanging="360"/>
      </w:pPr>
    </w:lvl>
  </w:abstractNum>
  <w:abstractNum w:abstractNumId="23" w15:restartNumberingAfterBreak="0">
    <w:nsid w:val="77FA1254"/>
    <w:multiLevelType w:val="hybridMultilevel"/>
    <w:tmpl w:val="6BA0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15055"/>
    <w:multiLevelType w:val="hybridMultilevel"/>
    <w:tmpl w:val="C8144844"/>
    <w:lvl w:ilvl="0" w:tplc="F8A2E78E">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47334976">
    <w:abstractNumId w:val="20"/>
  </w:num>
  <w:num w:numId="2" w16cid:durableId="677776709">
    <w:abstractNumId w:val="14"/>
  </w:num>
  <w:num w:numId="3" w16cid:durableId="281157656">
    <w:abstractNumId w:val="15"/>
  </w:num>
  <w:num w:numId="4" w16cid:durableId="1490708631">
    <w:abstractNumId w:val="3"/>
  </w:num>
  <w:num w:numId="5" w16cid:durableId="1047291162">
    <w:abstractNumId w:val="21"/>
  </w:num>
  <w:num w:numId="6" w16cid:durableId="148984440">
    <w:abstractNumId w:val="4"/>
  </w:num>
  <w:num w:numId="7" w16cid:durableId="148640706">
    <w:abstractNumId w:val="15"/>
    <w:lvlOverride w:ilvl="0">
      <w:startOverride w:val="1"/>
    </w:lvlOverride>
  </w:num>
  <w:num w:numId="8" w16cid:durableId="1206941930">
    <w:abstractNumId w:val="12"/>
  </w:num>
  <w:num w:numId="9" w16cid:durableId="2147160661">
    <w:abstractNumId w:val="0"/>
  </w:num>
  <w:num w:numId="10" w16cid:durableId="1905293646">
    <w:abstractNumId w:val="17"/>
  </w:num>
  <w:num w:numId="11" w16cid:durableId="2129354267">
    <w:abstractNumId w:val="23"/>
  </w:num>
  <w:num w:numId="12" w16cid:durableId="866605487">
    <w:abstractNumId w:val="18"/>
  </w:num>
  <w:num w:numId="13" w16cid:durableId="1282225756">
    <w:abstractNumId w:val="1"/>
  </w:num>
  <w:num w:numId="14" w16cid:durableId="554658178">
    <w:abstractNumId w:val="3"/>
    <w:lvlOverride w:ilvl="0">
      <w:startOverride w:val="1"/>
    </w:lvlOverride>
  </w:num>
  <w:num w:numId="15" w16cid:durableId="460005386">
    <w:abstractNumId w:val="3"/>
    <w:lvlOverride w:ilvl="0">
      <w:startOverride w:val="1"/>
    </w:lvlOverride>
  </w:num>
  <w:num w:numId="16" w16cid:durableId="1570455114">
    <w:abstractNumId w:val="2"/>
  </w:num>
  <w:num w:numId="17" w16cid:durableId="1256866726">
    <w:abstractNumId w:val="2"/>
  </w:num>
  <w:num w:numId="18" w16cid:durableId="589460867">
    <w:abstractNumId w:val="5"/>
  </w:num>
  <w:num w:numId="19" w16cid:durableId="520557018">
    <w:abstractNumId w:val="24"/>
  </w:num>
  <w:num w:numId="20" w16cid:durableId="669211184">
    <w:abstractNumId w:val="9"/>
  </w:num>
  <w:num w:numId="21" w16cid:durableId="1007755977">
    <w:abstractNumId w:val="13"/>
  </w:num>
  <w:num w:numId="22" w16cid:durableId="1992905775">
    <w:abstractNumId w:val="16"/>
  </w:num>
  <w:num w:numId="23" w16cid:durableId="396246131">
    <w:abstractNumId w:val="11"/>
  </w:num>
  <w:num w:numId="24" w16cid:durableId="1349016156">
    <w:abstractNumId w:val="6"/>
  </w:num>
  <w:num w:numId="25" w16cid:durableId="1466659765">
    <w:abstractNumId w:val="8"/>
  </w:num>
  <w:num w:numId="26" w16cid:durableId="576475020">
    <w:abstractNumId w:val="10"/>
  </w:num>
  <w:num w:numId="27" w16cid:durableId="1942958110">
    <w:abstractNumId w:val="19"/>
  </w:num>
  <w:num w:numId="28" w16cid:durableId="86123503">
    <w:abstractNumId w:val="22"/>
  </w:num>
  <w:num w:numId="29" w16cid:durableId="67191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YwMbWwMLc0M7JQ0lEKTi0uzszPAykwrAUAx+IL0SwAAAA="/>
  </w:docVars>
  <w:rsids>
    <w:rsidRoot w:val="00806626"/>
    <w:rsid w:val="00004CBA"/>
    <w:rsid w:val="00006C5D"/>
    <w:rsid w:val="00007886"/>
    <w:rsid w:val="000111BE"/>
    <w:rsid w:val="00013C47"/>
    <w:rsid w:val="00014432"/>
    <w:rsid w:val="00017352"/>
    <w:rsid w:val="00017F90"/>
    <w:rsid w:val="00020B2F"/>
    <w:rsid w:val="00020D0B"/>
    <w:rsid w:val="00022AB4"/>
    <w:rsid w:val="00023ACC"/>
    <w:rsid w:val="000242C2"/>
    <w:rsid w:val="0002614E"/>
    <w:rsid w:val="00027562"/>
    <w:rsid w:val="00031136"/>
    <w:rsid w:val="000342EB"/>
    <w:rsid w:val="00034DDF"/>
    <w:rsid w:val="0004503F"/>
    <w:rsid w:val="00051419"/>
    <w:rsid w:val="00051E11"/>
    <w:rsid w:val="00054C4E"/>
    <w:rsid w:val="00055258"/>
    <w:rsid w:val="000569ED"/>
    <w:rsid w:val="0005705E"/>
    <w:rsid w:val="000572C0"/>
    <w:rsid w:val="000633DF"/>
    <w:rsid w:val="000640E0"/>
    <w:rsid w:val="00064858"/>
    <w:rsid w:val="000661E4"/>
    <w:rsid w:val="0006650B"/>
    <w:rsid w:val="000670AA"/>
    <w:rsid w:val="000702F7"/>
    <w:rsid w:val="00073162"/>
    <w:rsid w:val="00073A3F"/>
    <w:rsid w:val="00074EB2"/>
    <w:rsid w:val="00076A90"/>
    <w:rsid w:val="00076D6B"/>
    <w:rsid w:val="00077544"/>
    <w:rsid w:val="00077B26"/>
    <w:rsid w:val="00077CBE"/>
    <w:rsid w:val="00083A99"/>
    <w:rsid w:val="000852DB"/>
    <w:rsid w:val="00085858"/>
    <w:rsid w:val="000866E7"/>
    <w:rsid w:val="000869CC"/>
    <w:rsid w:val="00087F7B"/>
    <w:rsid w:val="0009163A"/>
    <w:rsid w:val="00093084"/>
    <w:rsid w:val="0009494F"/>
    <w:rsid w:val="00097405"/>
    <w:rsid w:val="000A164E"/>
    <w:rsid w:val="000A197F"/>
    <w:rsid w:val="000A1DE1"/>
    <w:rsid w:val="000A258A"/>
    <w:rsid w:val="000A2715"/>
    <w:rsid w:val="000A2F8C"/>
    <w:rsid w:val="000A66C7"/>
    <w:rsid w:val="000A6AE4"/>
    <w:rsid w:val="000B0E58"/>
    <w:rsid w:val="000B13C1"/>
    <w:rsid w:val="000B1493"/>
    <w:rsid w:val="000B29D8"/>
    <w:rsid w:val="000B2C7D"/>
    <w:rsid w:val="000B3B46"/>
    <w:rsid w:val="000B7903"/>
    <w:rsid w:val="000B7DD5"/>
    <w:rsid w:val="000C094B"/>
    <w:rsid w:val="000C1CA9"/>
    <w:rsid w:val="000C7277"/>
    <w:rsid w:val="000D0406"/>
    <w:rsid w:val="000D2037"/>
    <w:rsid w:val="000D4E57"/>
    <w:rsid w:val="000D7D06"/>
    <w:rsid w:val="000E08A6"/>
    <w:rsid w:val="000E35C6"/>
    <w:rsid w:val="000E382C"/>
    <w:rsid w:val="000E5481"/>
    <w:rsid w:val="000F7682"/>
    <w:rsid w:val="00100104"/>
    <w:rsid w:val="0010035D"/>
    <w:rsid w:val="00101633"/>
    <w:rsid w:val="001020C4"/>
    <w:rsid w:val="00104C79"/>
    <w:rsid w:val="0010530B"/>
    <w:rsid w:val="00112EEE"/>
    <w:rsid w:val="00116F1E"/>
    <w:rsid w:val="00120B12"/>
    <w:rsid w:val="00123F44"/>
    <w:rsid w:val="00131B02"/>
    <w:rsid w:val="00133581"/>
    <w:rsid w:val="00133CFA"/>
    <w:rsid w:val="00134E8C"/>
    <w:rsid w:val="00135192"/>
    <w:rsid w:val="00135DC5"/>
    <w:rsid w:val="00141652"/>
    <w:rsid w:val="00143136"/>
    <w:rsid w:val="00144FD9"/>
    <w:rsid w:val="0015082D"/>
    <w:rsid w:val="001516BF"/>
    <w:rsid w:val="00153994"/>
    <w:rsid w:val="00154C10"/>
    <w:rsid w:val="001557E7"/>
    <w:rsid w:val="0015666C"/>
    <w:rsid w:val="001567D1"/>
    <w:rsid w:val="001570DE"/>
    <w:rsid w:val="00165E20"/>
    <w:rsid w:val="00167641"/>
    <w:rsid w:val="00172536"/>
    <w:rsid w:val="0017325D"/>
    <w:rsid w:val="00174708"/>
    <w:rsid w:val="00176141"/>
    <w:rsid w:val="001763CC"/>
    <w:rsid w:val="001777BC"/>
    <w:rsid w:val="00180B30"/>
    <w:rsid w:val="00182635"/>
    <w:rsid w:val="001869DB"/>
    <w:rsid w:val="00186FEA"/>
    <w:rsid w:val="0018729A"/>
    <w:rsid w:val="00187D7B"/>
    <w:rsid w:val="00190A76"/>
    <w:rsid w:val="0019146B"/>
    <w:rsid w:val="00192731"/>
    <w:rsid w:val="001967C7"/>
    <w:rsid w:val="001A0067"/>
    <w:rsid w:val="001A0422"/>
    <w:rsid w:val="001A1259"/>
    <w:rsid w:val="001A148E"/>
    <w:rsid w:val="001A2449"/>
    <w:rsid w:val="001A2740"/>
    <w:rsid w:val="001A37FD"/>
    <w:rsid w:val="001A61C8"/>
    <w:rsid w:val="001A65CF"/>
    <w:rsid w:val="001A7D3F"/>
    <w:rsid w:val="001B0D79"/>
    <w:rsid w:val="001B1A06"/>
    <w:rsid w:val="001B2784"/>
    <w:rsid w:val="001B2CA4"/>
    <w:rsid w:val="001B349E"/>
    <w:rsid w:val="001B761D"/>
    <w:rsid w:val="001C0F6E"/>
    <w:rsid w:val="001C2DE6"/>
    <w:rsid w:val="001C6AAC"/>
    <w:rsid w:val="001D09A4"/>
    <w:rsid w:val="001D2AF2"/>
    <w:rsid w:val="001D4D91"/>
    <w:rsid w:val="001E0A43"/>
    <w:rsid w:val="001E0D3C"/>
    <w:rsid w:val="001E28E2"/>
    <w:rsid w:val="001E4D23"/>
    <w:rsid w:val="001E6555"/>
    <w:rsid w:val="001E7481"/>
    <w:rsid w:val="001F098A"/>
    <w:rsid w:val="001F1D8F"/>
    <w:rsid w:val="001F2535"/>
    <w:rsid w:val="001F2AFB"/>
    <w:rsid w:val="001F2CE7"/>
    <w:rsid w:val="001F7825"/>
    <w:rsid w:val="002024C5"/>
    <w:rsid w:val="0020393C"/>
    <w:rsid w:val="002063A3"/>
    <w:rsid w:val="00212744"/>
    <w:rsid w:val="00214528"/>
    <w:rsid w:val="002202EF"/>
    <w:rsid w:val="00224CE2"/>
    <w:rsid w:val="002267F9"/>
    <w:rsid w:val="00231110"/>
    <w:rsid w:val="002331DD"/>
    <w:rsid w:val="002365C5"/>
    <w:rsid w:val="00237403"/>
    <w:rsid w:val="002376B9"/>
    <w:rsid w:val="00240919"/>
    <w:rsid w:val="002419DE"/>
    <w:rsid w:val="00243500"/>
    <w:rsid w:val="002451A4"/>
    <w:rsid w:val="00245492"/>
    <w:rsid w:val="00245B6E"/>
    <w:rsid w:val="00247B6A"/>
    <w:rsid w:val="002500B5"/>
    <w:rsid w:val="002534A8"/>
    <w:rsid w:val="002556F4"/>
    <w:rsid w:val="002576C0"/>
    <w:rsid w:val="0026005F"/>
    <w:rsid w:val="002605E3"/>
    <w:rsid w:val="00260CDE"/>
    <w:rsid w:val="002645F6"/>
    <w:rsid w:val="002658FA"/>
    <w:rsid w:val="00267EBA"/>
    <w:rsid w:val="002709B1"/>
    <w:rsid w:val="00274CA2"/>
    <w:rsid w:val="002826FF"/>
    <w:rsid w:val="002828A0"/>
    <w:rsid w:val="00282EBE"/>
    <w:rsid w:val="00283883"/>
    <w:rsid w:val="00283AFF"/>
    <w:rsid w:val="00284AEE"/>
    <w:rsid w:val="00285279"/>
    <w:rsid w:val="00287853"/>
    <w:rsid w:val="002902E6"/>
    <w:rsid w:val="00291E0F"/>
    <w:rsid w:val="002925C1"/>
    <w:rsid w:val="00293D4E"/>
    <w:rsid w:val="00293DD8"/>
    <w:rsid w:val="00296394"/>
    <w:rsid w:val="0029726C"/>
    <w:rsid w:val="002A0E16"/>
    <w:rsid w:val="002A49E8"/>
    <w:rsid w:val="002A50E9"/>
    <w:rsid w:val="002A6BE5"/>
    <w:rsid w:val="002B0686"/>
    <w:rsid w:val="002B08AC"/>
    <w:rsid w:val="002B0996"/>
    <w:rsid w:val="002B12D2"/>
    <w:rsid w:val="002B5DFD"/>
    <w:rsid w:val="002B635E"/>
    <w:rsid w:val="002B6AA4"/>
    <w:rsid w:val="002C56D1"/>
    <w:rsid w:val="002C74B3"/>
    <w:rsid w:val="002D1CD2"/>
    <w:rsid w:val="002D1F5F"/>
    <w:rsid w:val="002D21FB"/>
    <w:rsid w:val="002D2911"/>
    <w:rsid w:val="002D2EC1"/>
    <w:rsid w:val="002D395B"/>
    <w:rsid w:val="002D70F3"/>
    <w:rsid w:val="002E3CE8"/>
    <w:rsid w:val="002E4567"/>
    <w:rsid w:val="002E4A3A"/>
    <w:rsid w:val="002E5C5A"/>
    <w:rsid w:val="002F1272"/>
    <w:rsid w:val="002F1659"/>
    <w:rsid w:val="002F6360"/>
    <w:rsid w:val="002F69AD"/>
    <w:rsid w:val="002F708B"/>
    <w:rsid w:val="002F74D9"/>
    <w:rsid w:val="003016B5"/>
    <w:rsid w:val="00302163"/>
    <w:rsid w:val="00302C3B"/>
    <w:rsid w:val="003049A6"/>
    <w:rsid w:val="003053CE"/>
    <w:rsid w:val="003060B0"/>
    <w:rsid w:val="00311657"/>
    <w:rsid w:val="00311DD8"/>
    <w:rsid w:val="003123D4"/>
    <w:rsid w:val="00313640"/>
    <w:rsid w:val="00321CE6"/>
    <w:rsid w:val="0032420C"/>
    <w:rsid w:val="00331FF9"/>
    <w:rsid w:val="0033259F"/>
    <w:rsid w:val="003368BF"/>
    <w:rsid w:val="00336D72"/>
    <w:rsid w:val="003370BA"/>
    <w:rsid w:val="0034157E"/>
    <w:rsid w:val="00341B68"/>
    <w:rsid w:val="00342CED"/>
    <w:rsid w:val="0034328F"/>
    <w:rsid w:val="00343921"/>
    <w:rsid w:val="003465C9"/>
    <w:rsid w:val="00346A20"/>
    <w:rsid w:val="003475BE"/>
    <w:rsid w:val="0035556C"/>
    <w:rsid w:val="0035608C"/>
    <w:rsid w:val="0035622F"/>
    <w:rsid w:val="0035642B"/>
    <w:rsid w:val="00360869"/>
    <w:rsid w:val="00362088"/>
    <w:rsid w:val="0036422F"/>
    <w:rsid w:val="003669A6"/>
    <w:rsid w:val="00371D9F"/>
    <w:rsid w:val="0037497A"/>
    <w:rsid w:val="00374F8C"/>
    <w:rsid w:val="0037554B"/>
    <w:rsid w:val="00375DF3"/>
    <w:rsid w:val="003768FA"/>
    <w:rsid w:val="003772AC"/>
    <w:rsid w:val="00377C5D"/>
    <w:rsid w:val="003802AC"/>
    <w:rsid w:val="003814E1"/>
    <w:rsid w:val="00381B37"/>
    <w:rsid w:val="00381EE3"/>
    <w:rsid w:val="00384390"/>
    <w:rsid w:val="00384BE2"/>
    <w:rsid w:val="00386A23"/>
    <w:rsid w:val="00387AA4"/>
    <w:rsid w:val="00390C32"/>
    <w:rsid w:val="00391C1A"/>
    <w:rsid w:val="00391F21"/>
    <w:rsid w:val="003922A7"/>
    <w:rsid w:val="00394A8B"/>
    <w:rsid w:val="00394D78"/>
    <w:rsid w:val="0039514B"/>
    <w:rsid w:val="00396AB5"/>
    <w:rsid w:val="003A252F"/>
    <w:rsid w:val="003A4BA9"/>
    <w:rsid w:val="003B1715"/>
    <w:rsid w:val="003B4F0C"/>
    <w:rsid w:val="003B5370"/>
    <w:rsid w:val="003B5D46"/>
    <w:rsid w:val="003B6BB3"/>
    <w:rsid w:val="003B7D57"/>
    <w:rsid w:val="003C0700"/>
    <w:rsid w:val="003C15C5"/>
    <w:rsid w:val="003C27D4"/>
    <w:rsid w:val="003C29BA"/>
    <w:rsid w:val="003C2E6B"/>
    <w:rsid w:val="003C4703"/>
    <w:rsid w:val="003C53E8"/>
    <w:rsid w:val="003C5CFC"/>
    <w:rsid w:val="003C758D"/>
    <w:rsid w:val="003C76B5"/>
    <w:rsid w:val="003C7E40"/>
    <w:rsid w:val="003D1FF2"/>
    <w:rsid w:val="003D5628"/>
    <w:rsid w:val="003D5A84"/>
    <w:rsid w:val="003D5E87"/>
    <w:rsid w:val="003D7F05"/>
    <w:rsid w:val="003E4A56"/>
    <w:rsid w:val="003E50AB"/>
    <w:rsid w:val="003E53E8"/>
    <w:rsid w:val="003E5AE7"/>
    <w:rsid w:val="003F13C4"/>
    <w:rsid w:val="003F184B"/>
    <w:rsid w:val="003F2325"/>
    <w:rsid w:val="003F276E"/>
    <w:rsid w:val="003F74C8"/>
    <w:rsid w:val="00400B25"/>
    <w:rsid w:val="00401D91"/>
    <w:rsid w:val="00406A8D"/>
    <w:rsid w:val="00406F57"/>
    <w:rsid w:val="0041502C"/>
    <w:rsid w:val="004155E9"/>
    <w:rsid w:val="004178EA"/>
    <w:rsid w:val="00420B3A"/>
    <w:rsid w:val="00420CCE"/>
    <w:rsid w:val="00423A9B"/>
    <w:rsid w:val="0042566D"/>
    <w:rsid w:val="004258BA"/>
    <w:rsid w:val="00426106"/>
    <w:rsid w:val="00433A67"/>
    <w:rsid w:val="004345FD"/>
    <w:rsid w:val="00436C29"/>
    <w:rsid w:val="004370F0"/>
    <w:rsid w:val="00437310"/>
    <w:rsid w:val="004416DF"/>
    <w:rsid w:val="00453C59"/>
    <w:rsid w:val="00454A64"/>
    <w:rsid w:val="0045585B"/>
    <w:rsid w:val="00457949"/>
    <w:rsid w:val="00461A21"/>
    <w:rsid w:val="00462A45"/>
    <w:rsid w:val="00464D40"/>
    <w:rsid w:val="00464F5D"/>
    <w:rsid w:val="0046598F"/>
    <w:rsid w:val="00466D6B"/>
    <w:rsid w:val="004672EB"/>
    <w:rsid w:val="00467565"/>
    <w:rsid w:val="0047023E"/>
    <w:rsid w:val="0047083B"/>
    <w:rsid w:val="00471A2A"/>
    <w:rsid w:val="004729F8"/>
    <w:rsid w:val="00472A24"/>
    <w:rsid w:val="004731AC"/>
    <w:rsid w:val="00475CDC"/>
    <w:rsid w:val="0048172A"/>
    <w:rsid w:val="00483D78"/>
    <w:rsid w:val="004845D1"/>
    <w:rsid w:val="00486552"/>
    <w:rsid w:val="004913BE"/>
    <w:rsid w:val="00491B78"/>
    <w:rsid w:val="004929EC"/>
    <w:rsid w:val="004933C2"/>
    <w:rsid w:val="00494E7F"/>
    <w:rsid w:val="00495668"/>
    <w:rsid w:val="00495900"/>
    <w:rsid w:val="00495D71"/>
    <w:rsid w:val="0049744B"/>
    <w:rsid w:val="00497BB9"/>
    <w:rsid w:val="004A2574"/>
    <w:rsid w:val="004A29E1"/>
    <w:rsid w:val="004A59C6"/>
    <w:rsid w:val="004A6295"/>
    <w:rsid w:val="004A77B2"/>
    <w:rsid w:val="004A784B"/>
    <w:rsid w:val="004A7CF6"/>
    <w:rsid w:val="004B2719"/>
    <w:rsid w:val="004B29CC"/>
    <w:rsid w:val="004B2D8F"/>
    <w:rsid w:val="004B3B45"/>
    <w:rsid w:val="004B4A23"/>
    <w:rsid w:val="004B58FA"/>
    <w:rsid w:val="004C24B9"/>
    <w:rsid w:val="004C3898"/>
    <w:rsid w:val="004C4E02"/>
    <w:rsid w:val="004C644D"/>
    <w:rsid w:val="004C6A5E"/>
    <w:rsid w:val="004D15F4"/>
    <w:rsid w:val="004D4F17"/>
    <w:rsid w:val="004D5B48"/>
    <w:rsid w:val="004D5C47"/>
    <w:rsid w:val="004D7CBD"/>
    <w:rsid w:val="004D7FE7"/>
    <w:rsid w:val="004E084F"/>
    <w:rsid w:val="004E16DA"/>
    <w:rsid w:val="004E2434"/>
    <w:rsid w:val="004E2787"/>
    <w:rsid w:val="004E2C5A"/>
    <w:rsid w:val="004E497B"/>
    <w:rsid w:val="004E4F36"/>
    <w:rsid w:val="004E5CE2"/>
    <w:rsid w:val="004E71B5"/>
    <w:rsid w:val="004F18BA"/>
    <w:rsid w:val="004F2915"/>
    <w:rsid w:val="004F2FF6"/>
    <w:rsid w:val="004F5A56"/>
    <w:rsid w:val="004F637E"/>
    <w:rsid w:val="0050070B"/>
    <w:rsid w:val="005128EA"/>
    <w:rsid w:val="0051307B"/>
    <w:rsid w:val="005153AE"/>
    <w:rsid w:val="00520F05"/>
    <w:rsid w:val="005260B6"/>
    <w:rsid w:val="00526E20"/>
    <w:rsid w:val="00531035"/>
    <w:rsid w:val="005314BB"/>
    <w:rsid w:val="00532717"/>
    <w:rsid w:val="0053285E"/>
    <w:rsid w:val="00535B22"/>
    <w:rsid w:val="005363DD"/>
    <w:rsid w:val="00536909"/>
    <w:rsid w:val="0054060D"/>
    <w:rsid w:val="00541C93"/>
    <w:rsid w:val="0054302E"/>
    <w:rsid w:val="00543D91"/>
    <w:rsid w:val="00547147"/>
    <w:rsid w:val="00547CC0"/>
    <w:rsid w:val="005509FD"/>
    <w:rsid w:val="00552843"/>
    <w:rsid w:val="00553B35"/>
    <w:rsid w:val="00556A27"/>
    <w:rsid w:val="00557C45"/>
    <w:rsid w:val="00561256"/>
    <w:rsid w:val="005626CC"/>
    <w:rsid w:val="005656FD"/>
    <w:rsid w:val="00576817"/>
    <w:rsid w:val="0058362A"/>
    <w:rsid w:val="00584A71"/>
    <w:rsid w:val="005906B3"/>
    <w:rsid w:val="0059091E"/>
    <w:rsid w:val="00592BCA"/>
    <w:rsid w:val="0059340C"/>
    <w:rsid w:val="005945FC"/>
    <w:rsid w:val="005947E1"/>
    <w:rsid w:val="00595CFA"/>
    <w:rsid w:val="005A49D2"/>
    <w:rsid w:val="005A51D5"/>
    <w:rsid w:val="005A7256"/>
    <w:rsid w:val="005B18A8"/>
    <w:rsid w:val="005B1B64"/>
    <w:rsid w:val="005B1DA4"/>
    <w:rsid w:val="005C045A"/>
    <w:rsid w:val="005C1377"/>
    <w:rsid w:val="005C20E6"/>
    <w:rsid w:val="005C218E"/>
    <w:rsid w:val="005C22F6"/>
    <w:rsid w:val="005C24F6"/>
    <w:rsid w:val="005C3CBC"/>
    <w:rsid w:val="005C459D"/>
    <w:rsid w:val="005C7EC0"/>
    <w:rsid w:val="005D0370"/>
    <w:rsid w:val="005D18AA"/>
    <w:rsid w:val="005D2EE5"/>
    <w:rsid w:val="005D6B7A"/>
    <w:rsid w:val="005D77AF"/>
    <w:rsid w:val="005D79D9"/>
    <w:rsid w:val="005E1E4E"/>
    <w:rsid w:val="005E257C"/>
    <w:rsid w:val="005E314D"/>
    <w:rsid w:val="005E322E"/>
    <w:rsid w:val="005E5C4F"/>
    <w:rsid w:val="005E6234"/>
    <w:rsid w:val="005E67A5"/>
    <w:rsid w:val="005F1681"/>
    <w:rsid w:val="005F1DF8"/>
    <w:rsid w:val="00601768"/>
    <w:rsid w:val="00602D1A"/>
    <w:rsid w:val="00605F29"/>
    <w:rsid w:val="00606E79"/>
    <w:rsid w:val="00613B90"/>
    <w:rsid w:val="00614B5C"/>
    <w:rsid w:val="00616A8C"/>
    <w:rsid w:val="00620098"/>
    <w:rsid w:val="00623973"/>
    <w:rsid w:val="00625DF2"/>
    <w:rsid w:val="00627D38"/>
    <w:rsid w:val="00633974"/>
    <w:rsid w:val="0063451D"/>
    <w:rsid w:val="00635210"/>
    <w:rsid w:val="0063527A"/>
    <w:rsid w:val="0063790A"/>
    <w:rsid w:val="00637ECE"/>
    <w:rsid w:val="00645EB8"/>
    <w:rsid w:val="00646555"/>
    <w:rsid w:val="006465B0"/>
    <w:rsid w:val="006468BB"/>
    <w:rsid w:val="00646D18"/>
    <w:rsid w:val="00647D9C"/>
    <w:rsid w:val="006506F5"/>
    <w:rsid w:val="0065150C"/>
    <w:rsid w:val="00651951"/>
    <w:rsid w:val="00652465"/>
    <w:rsid w:val="0065302A"/>
    <w:rsid w:val="00655DF8"/>
    <w:rsid w:val="006574A7"/>
    <w:rsid w:val="006609BD"/>
    <w:rsid w:val="006616C9"/>
    <w:rsid w:val="00662529"/>
    <w:rsid w:val="00664DD7"/>
    <w:rsid w:val="00665B4E"/>
    <w:rsid w:val="00665C0F"/>
    <w:rsid w:val="00665EA9"/>
    <w:rsid w:val="006729E5"/>
    <w:rsid w:val="00672BAE"/>
    <w:rsid w:val="00674B9A"/>
    <w:rsid w:val="00675ACC"/>
    <w:rsid w:val="006771B2"/>
    <w:rsid w:val="00682797"/>
    <w:rsid w:val="00685CA7"/>
    <w:rsid w:val="0068714B"/>
    <w:rsid w:val="006876F8"/>
    <w:rsid w:val="006914AF"/>
    <w:rsid w:val="0069151B"/>
    <w:rsid w:val="00691769"/>
    <w:rsid w:val="00694A4B"/>
    <w:rsid w:val="00695AB1"/>
    <w:rsid w:val="006A06C0"/>
    <w:rsid w:val="006A13B2"/>
    <w:rsid w:val="006A3221"/>
    <w:rsid w:val="006A4987"/>
    <w:rsid w:val="006A596A"/>
    <w:rsid w:val="006B0B30"/>
    <w:rsid w:val="006B143E"/>
    <w:rsid w:val="006B2162"/>
    <w:rsid w:val="006B2C7A"/>
    <w:rsid w:val="006B576E"/>
    <w:rsid w:val="006B79D6"/>
    <w:rsid w:val="006B7EA0"/>
    <w:rsid w:val="006C0C99"/>
    <w:rsid w:val="006C0FFB"/>
    <w:rsid w:val="006C1190"/>
    <w:rsid w:val="006C2D5D"/>
    <w:rsid w:val="006C3826"/>
    <w:rsid w:val="006C4DFB"/>
    <w:rsid w:val="006C59F0"/>
    <w:rsid w:val="006C6E2C"/>
    <w:rsid w:val="006C7076"/>
    <w:rsid w:val="006C7A11"/>
    <w:rsid w:val="006D1D3E"/>
    <w:rsid w:val="006D2801"/>
    <w:rsid w:val="006D2EEC"/>
    <w:rsid w:val="006D628C"/>
    <w:rsid w:val="006E0D6F"/>
    <w:rsid w:val="006E3ED0"/>
    <w:rsid w:val="006E5FF1"/>
    <w:rsid w:val="006F06CF"/>
    <w:rsid w:val="006F14BF"/>
    <w:rsid w:val="006F3000"/>
    <w:rsid w:val="006F470F"/>
    <w:rsid w:val="006F5EF7"/>
    <w:rsid w:val="0070481E"/>
    <w:rsid w:val="00704F62"/>
    <w:rsid w:val="0071128A"/>
    <w:rsid w:val="00715C61"/>
    <w:rsid w:val="00717148"/>
    <w:rsid w:val="007176D3"/>
    <w:rsid w:val="0072020C"/>
    <w:rsid w:val="00720527"/>
    <w:rsid w:val="00721DDF"/>
    <w:rsid w:val="00722324"/>
    <w:rsid w:val="00723FF6"/>
    <w:rsid w:val="00725A02"/>
    <w:rsid w:val="00731436"/>
    <w:rsid w:val="00732343"/>
    <w:rsid w:val="00732F39"/>
    <w:rsid w:val="00733471"/>
    <w:rsid w:val="00734624"/>
    <w:rsid w:val="00737109"/>
    <w:rsid w:val="0073797A"/>
    <w:rsid w:val="00740624"/>
    <w:rsid w:val="00742633"/>
    <w:rsid w:val="00742F69"/>
    <w:rsid w:val="00744733"/>
    <w:rsid w:val="00744824"/>
    <w:rsid w:val="00745242"/>
    <w:rsid w:val="00746F52"/>
    <w:rsid w:val="007532AE"/>
    <w:rsid w:val="00755F81"/>
    <w:rsid w:val="007575A8"/>
    <w:rsid w:val="0076018C"/>
    <w:rsid w:val="007639CF"/>
    <w:rsid w:val="00763F23"/>
    <w:rsid w:val="0076530A"/>
    <w:rsid w:val="00765A83"/>
    <w:rsid w:val="00765BE9"/>
    <w:rsid w:val="00767C91"/>
    <w:rsid w:val="00767D9E"/>
    <w:rsid w:val="00775495"/>
    <w:rsid w:val="007769D3"/>
    <w:rsid w:val="00781504"/>
    <w:rsid w:val="0078341F"/>
    <w:rsid w:val="00784449"/>
    <w:rsid w:val="0078587B"/>
    <w:rsid w:val="00786180"/>
    <w:rsid w:val="007869A9"/>
    <w:rsid w:val="00787735"/>
    <w:rsid w:val="00791317"/>
    <w:rsid w:val="0079383E"/>
    <w:rsid w:val="007951A4"/>
    <w:rsid w:val="00795C12"/>
    <w:rsid w:val="00796D12"/>
    <w:rsid w:val="00796EBF"/>
    <w:rsid w:val="0079745B"/>
    <w:rsid w:val="00797AEE"/>
    <w:rsid w:val="007A1C5B"/>
    <w:rsid w:val="007A3516"/>
    <w:rsid w:val="007A44A6"/>
    <w:rsid w:val="007A59AC"/>
    <w:rsid w:val="007A6CA7"/>
    <w:rsid w:val="007B03A6"/>
    <w:rsid w:val="007B32FA"/>
    <w:rsid w:val="007B3D44"/>
    <w:rsid w:val="007B4087"/>
    <w:rsid w:val="007B4D51"/>
    <w:rsid w:val="007B7747"/>
    <w:rsid w:val="007C025C"/>
    <w:rsid w:val="007C0DCB"/>
    <w:rsid w:val="007C2CDB"/>
    <w:rsid w:val="007C4B69"/>
    <w:rsid w:val="007C68A4"/>
    <w:rsid w:val="007C6ED9"/>
    <w:rsid w:val="007D047B"/>
    <w:rsid w:val="007D65A8"/>
    <w:rsid w:val="007E0BC3"/>
    <w:rsid w:val="007E1ADE"/>
    <w:rsid w:val="007E3352"/>
    <w:rsid w:val="007E36E7"/>
    <w:rsid w:val="007E693A"/>
    <w:rsid w:val="007F0D06"/>
    <w:rsid w:val="007F28D6"/>
    <w:rsid w:val="007F40A9"/>
    <w:rsid w:val="007F4D74"/>
    <w:rsid w:val="007F5E27"/>
    <w:rsid w:val="007F6BD8"/>
    <w:rsid w:val="007F7839"/>
    <w:rsid w:val="007F7DC7"/>
    <w:rsid w:val="00801D26"/>
    <w:rsid w:val="00802243"/>
    <w:rsid w:val="00802E0D"/>
    <w:rsid w:val="00802E74"/>
    <w:rsid w:val="00806626"/>
    <w:rsid w:val="00811834"/>
    <w:rsid w:val="00812130"/>
    <w:rsid w:val="008129B9"/>
    <w:rsid w:val="00812FA4"/>
    <w:rsid w:val="00813CB5"/>
    <w:rsid w:val="00815ADE"/>
    <w:rsid w:val="0081616C"/>
    <w:rsid w:val="00816663"/>
    <w:rsid w:val="0081727B"/>
    <w:rsid w:val="00821FA3"/>
    <w:rsid w:val="00824FF1"/>
    <w:rsid w:val="008256A0"/>
    <w:rsid w:val="0082617B"/>
    <w:rsid w:val="00826D1B"/>
    <w:rsid w:val="0083214C"/>
    <w:rsid w:val="008347B1"/>
    <w:rsid w:val="00835BE6"/>
    <w:rsid w:val="0083655E"/>
    <w:rsid w:val="00837DBC"/>
    <w:rsid w:val="00842583"/>
    <w:rsid w:val="00842F72"/>
    <w:rsid w:val="00844A3E"/>
    <w:rsid w:val="00845410"/>
    <w:rsid w:val="00850445"/>
    <w:rsid w:val="008507BD"/>
    <w:rsid w:val="00856EB9"/>
    <w:rsid w:val="00857E2C"/>
    <w:rsid w:val="00857F95"/>
    <w:rsid w:val="0086102E"/>
    <w:rsid w:val="00862E79"/>
    <w:rsid w:val="0086465F"/>
    <w:rsid w:val="00867187"/>
    <w:rsid w:val="0086776A"/>
    <w:rsid w:val="00867960"/>
    <w:rsid w:val="00867F6F"/>
    <w:rsid w:val="00870F15"/>
    <w:rsid w:val="00871196"/>
    <w:rsid w:val="00872766"/>
    <w:rsid w:val="00874B40"/>
    <w:rsid w:val="0087586A"/>
    <w:rsid w:val="00876710"/>
    <w:rsid w:val="00877721"/>
    <w:rsid w:val="00880422"/>
    <w:rsid w:val="0088221F"/>
    <w:rsid w:val="00883BA9"/>
    <w:rsid w:val="008843D2"/>
    <w:rsid w:val="00884C31"/>
    <w:rsid w:val="00885490"/>
    <w:rsid w:val="0088751D"/>
    <w:rsid w:val="008A03D1"/>
    <w:rsid w:val="008A175D"/>
    <w:rsid w:val="008A183D"/>
    <w:rsid w:val="008A2037"/>
    <w:rsid w:val="008A37F5"/>
    <w:rsid w:val="008A42D1"/>
    <w:rsid w:val="008A465D"/>
    <w:rsid w:val="008A63E3"/>
    <w:rsid w:val="008B09C8"/>
    <w:rsid w:val="008B2026"/>
    <w:rsid w:val="008B2C04"/>
    <w:rsid w:val="008B3E99"/>
    <w:rsid w:val="008B6E53"/>
    <w:rsid w:val="008C66AC"/>
    <w:rsid w:val="008C6D58"/>
    <w:rsid w:val="008C70A4"/>
    <w:rsid w:val="008D4462"/>
    <w:rsid w:val="008E20F9"/>
    <w:rsid w:val="008E2B76"/>
    <w:rsid w:val="008E3698"/>
    <w:rsid w:val="008E3BAC"/>
    <w:rsid w:val="008E4546"/>
    <w:rsid w:val="008E4CC0"/>
    <w:rsid w:val="008F0549"/>
    <w:rsid w:val="008F107D"/>
    <w:rsid w:val="008F2904"/>
    <w:rsid w:val="008F3F33"/>
    <w:rsid w:val="0090001C"/>
    <w:rsid w:val="0090265C"/>
    <w:rsid w:val="00904FF0"/>
    <w:rsid w:val="009058E2"/>
    <w:rsid w:val="009067A0"/>
    <w:rsid w:val="00906BBE"/>
    <w:rsid w:val="00906E77"/>
    <w:rsid w:val="00910C04"/>
    <w:rsid w:val="00910C76"/>
    <w:rsid w:val="00911F72"/>
    <w:rsid w:val="00912316"/>
    <w:rsid w:val="009135A3"/>
    <w:rsid w:val="0091426E"/>
    <w:rsid w:val="00914540"/>
    <w:rsid w:val="00915160"/>
    <w:rsid w:val="00916548"/>
    <w:rsid w:val="009175D2"/>
    <w:rsid w:val="00923ACC"/>
    <w:rsid w:val="009313C1"/>
    <w:rsid w:val="009316C4"/>
    <w:rsid w:val="009316D0"/>
    <w:rsid w:val="00933452"/>
    <w:rsid w:val="0094115D"/>
    <w:rsid w:val="00942A99"/>
    <w:rsid w:val="00942DAB"/>
    <w:rsid w:val="009431C3"/>
    <w:rsid w:val="009448B1"/>
    <w:rsid w:val="00945B1E"/>
    <w:rsid w:val="00947EDF"/>
    <w:rsid w:val="00951DF8"/>
    <w:rsid w:val="00955A97"/>
    <w:rsid w:val="009607A3"/>
    <w:rsid w:val="009664A7"/>
    <w:rsid w:val="00966669"/>
    <w:rsid w:val="00970599"/>
    <w:rsid w:val="00971FDF"/>
    <w:rsid w:val="009736ED"/>
    <w:rsid w:val="0097442C"/>
    <w:rsid w:val="009756D3"/>
    <w:rsid w:val="009759BA"/>
    <w:rsid w:val="00982361"/>
    <w:rsid w:val="0098703A"/>
    <w:rsid w:val="009876E8"/>
    <w:rsid w:val="009917A0"/>
    <w:rsid w:val="00991DDD"/>
    <w:rsid w:val="009947C1"/>
    <w:rsid w:val="0099507A"/>
    <w:rsid w:val="00995A72"/>
    <w:rsid w:val="009965E0"/>
    <w:rsid w:val="009A27FF"/>
    <w:rsid w:val="009A38C0"/>
    <w:rsid w:val="009B0F1D"/>
    <w:rsid w:val="009B2212"/>
    <w:rsid w:val="009C33B2"/>
    <w:rsid w:val="009C49D5"/>
    <w:rsid w:val="009C5294"/>
    <w:rsid w:val="009C7571"/>
    <w:rsid w:val="009C7689"/>
    <w:rsid w:val="009D0756"/>
    <w:rsid w:val="009D220A"/>
    <w:rsid w:val="009E0223"/>
    <w:rsid w:val="009E1DFB"/>
    <w:rsid w:val="009E2A8F"/>
    <w:rsid w:val="009E3562"/>
    <w:rsid w:val="009E4124"/>
    <w:rsid w:val="009E639F"/>
    <w:rsid w:val="009E7CB6"/>
    <w:rsid w:val="009F4D0A"/>
    <w:rsid w:val="009F6D84"/>
    <w:rsid w:val="009F6FAB"/>
    <w:rsid w:val="00A00DD8"/>
    <w:rsid w:val="00A019D8"/>
    <w:rsid w:val="00A02BFB"/>
    <w:rsid w:val="00A03CBC"/>
    <w:rsid w:val="00A04831"/>
    <w:rsid w:val="00A0778D"/>
    <w:rsid w:val="00A10AF8"/>
    <w:rsid w:val="00A11286"/>
    <w:rsid w:val="00A15539"/>
    <w:rsid w:val="00A15E0A"/>
    <w:rsid w:val="00A15EB4"/>
    <w:rsid w:val="00A1753E"/>
    <w:rsid w:val="00A17E61"/>
    <w:rsid w:val="00A22DCA"/>
    <w:rsid w:val="00A23036"/>
    <w:rsid w:val="00A2369B"/>
    <w:rsid w:val="00A2396A"/>
    <w:rsid w:val="00A27609"/>
    <w:rsid w:val="00A27811"/>
    <w:rsid w:val="00A30139"/>
    <w:rsid w:val="00A3126F"/>
    <w:rsid w:val="00A31371"/>
    <w:rsid w:val="00A333BF"/>
    <w:rsid w:val="00A36969"/>
    <w:rsid w:val="00A375E5"/>
    <w:rsid w:val="00A40426"/>
    <w:rsid w:val="00A4193B"/>
    <w:rsid w:val="00A42582"/>
    <w:rsid w:val="00A4261D"/>
    <w:rsid w:val="00A426D5"/>
    <w:rsid w:val="00A45167"/>
    <w:rsid w:val="00A45987"/>
    <w:rsid w:val="00A50301"/>
    <w:rsid w:val="00A505CB"/>
    <w:rsid w:val="00A50E2A"/>
    <w:rsid w:val="00A53C66"/>
    <w:rsid w:val="00A5499E"/>
    <w:rsid w:val="00A54C7F"/>
    <w:rsid w:val="00A55CD3"/>
    <w:rsid w:val="00A640F9"/>
    <w:rsid w:val="00A66E45"/>
    <w:rsid w:val="00A67B97"/>
    <w:rsid w:val="00A70197"/>
    <w:rsid w:val="00A72658"/>
    <w:rsid w:val="00A72E92"/>
    <w:rsid w:val="00A76407"/>
    <w:rsid w:val="00A826DF"/>
    <w:rsid w:val="00A828B0"/>
    <w:rsid w:val="00A829C0"/>
    <w:rsid w:val="00A82AC6"/>
    <w:rsid w:val="00A8387A"/>
    <w:rsid w:val="00A84160"/>
    <w:rsid w:val="00A842A9"/>
    <w:rsid w:val="00A851C1"/>
    <w:rsid w:val="00A87F11"/>
    <w:rsid w:val="00A90C13"/>
    <w:rsid w:val="00A91F54"/>
    <w:rsid w:val="00A93141"/>
    <w:rsid w:val="00A9458F"/>
    <w:rsid w:val="00A9474C"/>
    <w:rsid w:val="00AA18D5"/>
    <w:rsid w:val="00AA1A1D"/>
    <w:rsid w:val="00AA28DA"/>
    <w:rsid w:val="00AA30CC"/>
    <w:rsid w:val="00AA473A"/>
    <w:rsid w:val="00AA481A"/>
    <w:rsid w:val="00AA5AA8"/>
    <w:rsid w:val="00AA75F6"/>
    <w:rsid w:val="00AB0A51"/>
    <w:rsid w:val="00AB70B2"/>
    <w:rsid w:val="00AB7B38"/>
    <w:rsid w:val="00AC08AF"/>
    <w:rsid w:val="00AC0AB1"/>
    <w:rsid w:val="00AC2CBD"/>
    <w:rsid w:val="00AC440A"/>
    <w:rsid w:val="00AC4490"/>
    <w:rsid w:val="00AC7738"/>
    <w:rsid w:val="00AC77E3"/>
    <w:rsid w:val="00AD07BF"/>
    <w:rsid w:val="00AD1176"/>
    <w:rsid w:val="00AD1945"/>
    <w:rsid w:val="00AD1D20"/>
    <w:rsid w:val="00AD1D88"/>
    <w:rsid w:val="00AD372E"/>
    <w:rsid w:val="00AD405A"/>
    <w:rsid w:val="00AD592F"/>
    <w:rsid w:val="00AD5DD1"/>
    <w:rsid w:val="00AD7470"/>
    <w:rsid w:val="00AD7962"/>
    <w:rsid w:val="00AE015E"/>
    <w:rsid w:val="00AE04FC"/>
    <w:rsid w:val="00AE1D02"/>
    <w:rsid w:val="00AE2FE9"/>
    <w:rsid w:val="00AE3419"/>
    <w:rsid w:val="00AE4E95"/>
    <w:rsid w:val="00AE51E8"/>
    <w:rsid w:val="00AE5283"/>
    <w:rsid w:val="00AE64E9"/>
    <w:rsid w:val="00AF69B8"/>
    <w:rsid w:val="00AF725C"/>
    <w:rsid w:val="00AF7978"/>
    <w:rsid w:val="00B01638"/>
    <w:rsid w:val="00B02FC6"/>
    <w:rsid w:val="00B046BF"/>
    <w:rsid w:val="00B07B8D"/>
    <w:rsid w:val="00B121B1"/>
    <w:rsid w:val="00B167D4"/>
    <w:rsid w:val="00B17A4C"/>
    <w:rsid w:val="00B17F22"/>
    <w:rsid w:val="00B2033A"/>
    <w:rsid w:val="00B20B27"/>
    <w:rsid w:val="00B25954"/>
    <w:rsid w:val="00B25B1B"/>
    <w:rsid w:val="00B261E1"/>
    <w:rsid w:val="00B36AE8"/>
    <w:rsid w:val="00B4167B"/>
    <w:rsid w:val="00B41C9E"/>
    <w:rsid w:val="00B4300E"/>
    <w:rsid w:val="00B44078"/>
    <w:rsid w:val="00B448AD"/>
    <w:rsid w:val="00B45FC3"/>
    <w:rsid w:val="00B50476"/>
    <w:rsid w:val="00B5059E"/>
    <w:rsid w:val="00B51FA4"/>
    <w:rsid w:val="00B52987"/>
    <w:rsid w:val="00B54C4A"/>
    <w:rsid w:val="00B5515E"/>
    <w:rsid w:val="00B55924"/>
    <w:rsid w:val="00B55954"/>
    <w:rsid w:val="00B56B65"/>
    <w:rsid w:val="00B57AD9"/>
    <w:rsid w:val="00B607E1"/>
    <w:rsid w:val="00B63E3A"/>
    <w:rsid w:val="00B70967"/>
    <w:rsid w:val="00B74BC4"/>
    <w:rsid w:val="00B81303"/>
    <w:rsid w:val="00B838B5"/>
    <w:rsid w:val="00B8412A"/>
    <w:rsid w:val="00B843D0"/>
    <w:rsid w:val="00B84E9F"/>
    <w:rsid w:val="00B853C5"/>
    <w:rsid w:val="00B90FCA"/>
    <w:rsid w:val="00B91496"/>
    <w:rsid w:val="00B93360"/>
    <w:rsid w:val="00B93A8A"/>
    <w:rsid w:val="00B93C7B"/>
    <w:rsid w:val="00B94122"/>
    <w:rsid w:val="00B94627"/>
    <w:rsid w:val="00B94F26"/>
    <w:rsid w:val="00B964A6"/>
    <w:rsid w:val="00B966BE"/>
    <w:rsid w:val="00B97EC8"/>
    <w:rsid w:val="00BA4528"/>
    <w:rsid w:val="00BA5991"/>
    <w:rsid w:val="00BA5DE0"/>
    <w:rsid w:val="00BA7451"/>
    <w:rsid w:val="00BB2F8C"/>
    <w:rsid w:val="00BB4E28"/>
    <w:rsid w:val="00BB7014"/>
    <w:rsid w:val="00BC0BF0"/>
    <w:rsid w:val="00BC1270"/>
    <w:rsid w:val="00BC2E11"/>
    <w:rsid w:val="00BC3714"/>
    <w:rsid w:val="00BC56E6"/>
    <w:rsid w:val="00BC5B75"/>
    <w:rsid w:val="00BC65D6"/>
    <w:rsid w:val="00BD0716"/>
    <w:rsid w:val="00BD09B1"/>
    <w:rsid w:val="00BD1590"/>
    <w:rsid w:val="00BD35C3"/>
    <w:rsid w:val="00BD5CB8"/>
    <w:rsid w:val="00BE3DD7"/>
    <w:rsid w:val="00BE4303"/>
    <w:rsid w:val="00BF0A74"/>
    <w:rsid w:val="00BF0C2F"/>
    <w:rsid w:val="00BF239B"/>
    <w:rsid w:val="00BF30DB"/>
    <w:rsid w:val="00BF311F"/>
    <w:rsid w:val="00BF3495"/>
    <w:rsid w:val="00BF43EF"/>
    <w:rsid w:val="00BF56DB"/>
    <w:rsid w:val="00BF6B18"/>
    <w:rsid w:val="00BF7EC3"/>
    <w:rsid w:val="00C00524"/>
    <w:rsid w:val="00C0110D"/>
    <w:rsid w:val="00C0242F"/>
    <w:rsid w:val="00C05657"/>
    <w:rsid w:val="00C0780B"/>
    <w:rsid w:val="00C137CF"/>
    <w:rsid w:val="00C166EB"/>
    <w:rsid w:val="00C17799"/>
    <w:rsid w:val="00C214EC"/>
    <w:rsid w:val="00C21B53"/>
    <w:rsid w:val="00C23215"/>
    <w:rsid w:val="00C234B3"/>
    <w:rsid w:val="00C2541D"/>
    <w:rsid w:val="00C26CE4"/>
    <w:rsid w:val="00C26DF8"/>
    <w:rsid w:val="00C30010"/>
    <w:rsid w:val="00C3276B"/>
    <w:rsid w:val="00C32ACE"/>
    <w:rsid w:val="00C32B60"/>
    <w:rsid w:val="00C36972"/>
    <w:rsid w:val="00C376F4"/>
    <w:rsid w:val="00C37B10"/>
    <w:rsid w:val="00C40672"/>
    <w:rsid w:val="00C423D2"/>
    <w:rsid w:val="00C4280E"/>
    <w:rsid w:val="00C42F1E"/>
    <w:rsid w:val="00C42F48"/>
    <w:rsid w:val="00C442D2"/>
    <w:rsid w:val="00C455EC"/>
    <w:rsid w:val="00C45B77"/>
    <w:rsid w:val="00C4715F"/>
    <w:rsid w:val="00C513CD"/>
    <w:rsid w:val="00C55014"/>
    <w:rsid w:val="00C5609B"/>
    <w:rsid w:val="00C572F8"/>
    <w:rsid w:val="00C6165F"/>
    <w:rsid w:val="00C62E1D"/>
    <w:rsid w:val="00C64F10"/>
    <w:rsid w:val="00C651CF"/>
    <w:rsid w:val="00C65493"/>
    <w:rsid w:val="00C74420"/>
    <w:rsid w:val="00C74D28"/>
    <w:rsid w:val="00C752DF"/>
    <w:rsid w:val="00C809C6"/>
    <w:rsid w:val="00C811C9"/>
    <w:rsid w:val="00C81727"/>
    <w:rsid w:val="00C8276F"/>
    <w:rsid w:val="00C838C1"/>
    <w:rsid w:val="00C83B4F"/>
    <w:rsid w:val="00C86674"/>
    <w:rsid w:val="00C86FE8"/>
    <w:rsid w:val="00C87134"/>
    <w:rsid w:val="00C90653"/>
    <w:rsid w:val="00C923A7"/>
    <w:rsid w:val="00C926E3"/>
    <w:rsid w:val="00C957D3"/>
    <w:rsid w:val="00C96E25"/>
    <w:rsid w:val="00C97198"/>
    <w:rsid w:val="00CA1714"/>
    <w:rsid w:val="00CA2A3D"/>
    <w:rsid w:val="00CA2A3E"/>
    <w:rsid w:val="00CA41BF"/>
    <w:rsid w:val="00CA5684"/>
    <w:rsid w:val="00CB1F4B"/>
    <w:rsid w:val="00CB202E"/>
    <w:rsid w:val="00CB4CA6"/>
    <w:rsid w:val="00CB591D"/>
    <w:rsid w:val="00CB5F67"/>
    <w:rsid w:val="00CB7129"/>
    <w:rsid w:val="00CC1D45"/>
    <w:rsid w:val="00CC7CA1"/>
    <w:rsid w:val="00CD0279"/>
    <w:rsid w:val="00CD087C"/>
    <w:rsid w:val="00CD2D9F"/>
    <w:rsid w:val="00CD6E0C"/>
    <w:rsid w:val="00CD7BBF"/>
    <w:rsid w:val="00CD7D1A"/>
    <w:rsid w:val="00CE4C85"/>
    <w:rsid w:val="00CE7445"/>
    <w:rsid w:val="00CF1436"/>
    <w:rsid w:val="00CF2EC4"/>
    <w:rsid w:val="00D00107"/>
    <w:rsid w:val="00D014F0"/>
    <w:rsid w:val="00D0155F"/>
    <w:rsid w:val="00D020F5"/>
    <w:rsid w:val="00D0287F"/>
    <w:rsid w:val="00D02B16"/>
    <w:rsid w:val="00D03F4F"/>
    <w:rsid w:val="00D059B5"/>
    <w:rsid w:val="00D06E50"/>
    <w:rsid w:val="00D11327"/>
    <w:rsid w:val="00D13D0C"/>
    <w:rsid w:val="00D15253"/>
    <w:rsid w:val="00D15BB3"/>
    <w:rsid w:val="00D15BEB"/>
    <w:rsid w:val="00D160A8"/>
    <w:rsid w:val="00D16980"/>
    <w:rsid w:val="00D26064"/>
    <w:rsid w:val="00D30FC4"/>
    <w:rsid w:val="00D317F1"/>
    <w:rsid w:val="00D319F1"/>
    <w:rsid w:val="00D33D58"/>
    <w:rsid w:val="00D34A22"/>
    <w:rsid w:val="00D37C14"/>
    <w:rsid w:val="00D4002F"/>
    <w:rsid w:val="00D412C4"/>
    <w:rsid w:val="00D42CB9"/>
    <w:rsid w:val="00D43B73"/>
    <w:rsid w:val="00D4591C"/>
    <w:rsid w:val="00D50315"/>
    <w:rsid w:val="00D50995"/>
    <w:rsid w:val="00D52506"/>
    <w:rsid w:val="00D537AC"/>
    <w:rsid w:val="00D54FCA"/>
    <w:rsid w:val="00D55CB2"/>
    <w:rsid w:val="00D55FDC"/>
    <w:rsid w:val="00D57C59"/>
    <w:rsid w:val="00D57F92"/>
    <w:rsid w:val="00D63BFC"/>
    <w:rsid w:val="00D71211"/>
    <w:rsid w:val="00D7262B"/>
    <w:rsid w:val="00D7288E"/>
    <w:rsid w:val="00D756CB"/>
    <w:rsid w:val="00D80C41"/>
    <w:rsid w:val="00D814EA"/>
    <w:rsid w:val="00D82073"/>
    <w:rsid w:val="00D8294A"/>
    <w:rsid w:val="00D831FE"/>
    <w:rsid w:val="00D85F56"/>
    <w:rsid w:val="00D87CD2"/>
    <w:rsid w:val="00D901EE"/>
    <w:rsid w:val="00D91072"/>
    <w:rsid w:val="00D91073"/>
    <w:rsid w:val="00D9124B"/>
    <w:rsid w:val="00D91FB7"/>
    <w:rsid w:val="00D92DCF"/>
    <w:rsid w:val="00D9336E"/>
    <w:rsid w:val="00D9356B"/>
    <w:rsid w:val="00D93D1E"/>
    <w:rsid w:val="00D9487E"/>
    <w:rsid w:val="00D94DA0"/>
    <w:rsid w:val="00D94E44"/>
    <w:rsid w:val="00D95B0F"/>
    <w:rsid w:val="00DA026E"/>
    <w:rsid w:val="00DA10CF"/>
    <w:rsid w:val="00DA5E58"/>
    <w:rsid w:val="00DA7D0F"/>
    <w:rsid w:val="00DB143E"/>
    <w:rsid w:val="00DB318C"/>
    <w:rsid w:val="00DB35D9"/>
    <w:rsid w:val="00DB514D"/>
    <w:rsid w:val="00DB7199"/>
    <w:rsid w:val="00DC507F"/>
    <w:rsid w:val="00DD0303"/>
    <w:rsid w:val="00DD152D"/>
    <w:rsid w:val="00DD1870"/>
    <w:rsid w:val="00DD6FF1"/>
    <w:rsid w:val="00DD6FF8"/>
    <w:rsid w:val="00DD7C06"/>
    <w:rsid w:val="00DD7E6E"/>
    <w:rsid w:val="00DE0728"/>
    <w:rsid w:val="00DE0EAB"/>
    <w:rsid w:val="00DE3044"/>
    <w:rsid w:val="00DE32B1"/>
    <w:rsid w:val="00DE46F6"/>
    <w:rsid w:val="00DF0506"/>
    <w:rsid w:val="00DF0AE5"/>
    <w:rsid w:val="00DF0D61"/>
    <w:rsid w:val="00DF1665"/>
    <w:rsid w:val="00DF1F34"/>
    <w:rsid w:val="00DF2922"/>
    <w:rsid w:val="00DF2DE0"/>
    <w:rsid w:val="00DF5312"/>
    <w:rsid w:val="00DF5A81"/>
    <w:rsid w:val="00DF5BF5"/>
    <w:rsid w:val="00DF7BF4"/>
    <w:rsid w:val="00E0228A"/>
    <w:rsid w:val="00E02C5B"/>
    <w:rsid w:val="00E04028"/>
    <w:rsid w:val="00E05147"/>
    <w:rsid w:val="00E05DCE"/>
    <w:rsid w:val="00E077BC"/>
    <w:rsid w:val="00E10F86"/>
    <w:rsid w:val="00E13348"/>
    <w:rsid w:val="00E1482B"/>
    <w:rsid w:val="00E14AC4"/>
    <w:rsid w:val="00E168E3"/>
    <w:rsid w:val="00E17041"/>
    <w:rsid w:val="00E17F6D"/>
    <w:rsid w:val="00E205D1"/>
    <w:rsid w:val="00E20D1A"/>
    <w:rsid w:val="00E21D0A"/>
    <w:rsid w:val="00E2234D"/>
    <w:rsid w:val="00E22F08"/>
    <w:rsid w:val="00E2510C"/>
    <w:rsid w:val="00E26937"/>
    <w:rsid w:val="00E26D9C"/>
    <w:rsid w:val="00E302DE"/>
    <w:rsid w:val="00E3159D"/>
    <w:rsid w:val="00E337C4"/>
    <w:rsid w:val="00E341D4"/>
    <w:rsid w:val="00E36E0A"/>
    <w:rsid w:val="00E402D3"/>
    <w:rsid w:val="00E4032D"/>
    <w:rsid w:val="00E427EE"/>
    <w:rsid w:val="00E43232"/>
    <w:rsid w:val="00E44918"/>
    <w:rsid w:val="00E4567D"/>
    <w:rsid w:val="00E45991"/>
    <w:rsid w:val="00E46650"/>
    <w:rsid w:val="00E50D48"/>
    <w:rsid w:val="00E52BA3"/>
    <w:rsid w:val="00E537F4"/>
    <w:rsid w:val="00E54426"/>
    <w:rsid w:val="00E54F21"/>
    <w:rsid w:val="00E555A3"/>
    <w:rsid w:val="00E56043"/>
    <w:rsid w:val="00E6000B"/>
    <w:rsid w:val="00E67B7E"/>
    <w:rsid w:val="00E7049E"/>
    <w:rsid w:val="00E7065C"/>
    <w:rsid w:val="00E7103D"/>
    <w:rsid w:val="00E714E0"/>
    <w:rsid w:val="00E729EE"/>
    <w:rsid w:val="00E75D31"/>
    <w:rsid w:val="00E774DC"/>
    <w:rsid w:val="00E801BE"/>
    <w:rsid w:val="00E80CF9"/>
    <w:rsid w:val="00E81ACC"/>
    <w:rsid w:val="00E8385A"/>
    <w:rsid w:val="00E83CDF"/>
    <w:rsid w:val="00E85232"/>
    <w:rsid w:val="00E858C5"/>
    <w:rsid w:val="00E91BC8"/>
    <w:rsid w:val="00E92014"/>
    <w:rsid w:val="00E9418F"/>
    <w:rsid w:val="00E94B1E"/>
    <w:rsid w:val="00E97001"/>
    <w:rsid w:val="00E97EDD"/>
    <w:rsid w:val="00EA0F6F"/>
    <w:rsid w:val="00EA1FE0"/>
    <w:rsid w:val="00EA51E7"/>
    <w:rsid w:val="00EA5D21"/>
    <w:rsid w:val="00EA6103"/>
    <w:rsid w:val="00EB07A6"/>
    <w:rsid w:val="00EB0F55"/>
    <w:rsid w:val="00EB53CC"/>
    <w:rsid w:val="00EB5F2A"/>
    <w:rsid w:val="00EB67D7"/>
    <w:rsid w:val="00EC23B9"/>
    <w:rsid w:val="00EC3A1B"/>
    <w:rsid w:val="00ED67AF"/>
    <w:rsid w:val="00EE3D83"/>
    <w:rsid w:val="00EF1760"/>
    <w:rsid w:val="00EF269A"/>
    <w:rsid w:val="00EF50BF"/>
    <w:rsid w:val="00EF5BA2"/>
    <w:rsid w:val="00EF6A23"/>
    <w:rsid w:val="00EF7A79"/>
    <w:rsid w:val="00F00D5F"/>
    <w:rsid w:val="00F0161D"/>
    <w:rsid w:val="00F0189E"/>
    <w:rsid w:val="00F0313D"/>
    <w:rsid w:val="00F03300"/>
    <w:rsid w:val="00F04A58"/>
    <w:rsid w:val="00F04DCE"/>
    <w:rsid w:val="00F13579"/>
    <w:rsid w:val="00F13B4F"/>
    <w:rsid w:val="00F14B88"/>
    <w:rsid w:val="00F14CD3"/>
    <w:rsid w:val="00F20320"/>
    <w:rsid w:val="00F21996"/>
    <w:rsid w:val="00F2276C"/>
    <w:rsid w:val="00F24925"/>
    <w:rsid w:val="00F261D8"/>
    <w:rsid w:val="00F2686F"/>
    <w:rsid w:val="00F26A07"/>
    <w:rsid w:val="00F275A0"/>
    <w:rsid w:val="00F30577"/>
    <w:rsid w:val="00F3123A"/>
    <w:rsid w:val="00F3214C"/>
    <w:rsid w:val="00F322DE"/>
    <w:rsid w:val="00F339D9"/>
    <w:rsid w:val="00F3435A"/>
    <w:rsid w:val="00F34882"/>
    <w:rsid w:val="00F376F0"/>
    <w:rsid w:val="00F4010C"/>
    <w:rsid w:val="00F40AF7"/>
    <w:rsid w:val="00F417D3"/>
    <w:rsid w:val="00F41A14"/>
    <w:rsid w:val="00F43D75"/>
    <w:rsid w:val="00F44EF5"/>
    <w:rsid w:val="00F472CD"/>
    <w:rsid w:val="00F47990"/>
    <w:rsid w:val="00F5004F"/>
    <w:rsid w:val="00F51A33"/>
    <w:rsid w:val="00F54463"/>
    <w:rsid w:val="00F56B4B"/>
    <w:rsid w:val="00F65B61"/>
    <w:rsid w:val="00F65C67"/>
    <w:rsid w:val="00F65C6A"/>
    <w:rsid w:val="00F66196"/>
    <w:rsid w:val="00F67B35"/>
    <w:rsid w:val="00F67CE3"/>
    <w:rsid w:val="00F7356C"/>
    <w:rsid w:val="00F74FBF"/>
    <w:rsid w:val="00F76BDE"/>
    <w:rsid w:val="00F80069"/>
    <w:rsid w:val="00F803D8"/>
    <w:rsid w:val="00F84493"/>
    <w:rsid w:val="00F8488A"/>
    <w:rsid w:val="00F859F5"/>
    <w:rsid w:val="00F86063"/>
    <w:rsid w:val="00F86491"/>
    <w:rsid w:val="00F86B49"/>
    <w:rsid w:val="00F87DB0"/>
    <w:rsid w:val="00F902B7"/>
    <w:rsid w:val="00F931BB"/>
    <w:rsid w:val="00FA6784"/>
    <w:rsid w:val="00FA7A7A"/>
    <w:rsid w:val="00FB0B0B"/>
    <w:rsid w:val="00FB1852"/>
    <w:rsid w:val="00FB377E"/>
    <w:rsid w:val="00FC0468"/>
    <w:rsid w:val="00FC0841"/>
    <w:rsid w:val="00FC34F9"/>
    <w:rsid w:val="00FC43A6"/>
    <w:rsid w:val="00FC492A"/>
    <w:rsid w:val="00FC4EA6"/>
    <w:rsid w:val="00FD0FE7"/>
    <w:rsid w:val="00FD25FF"/>
    <w:rsid w:val="00FD3FA5"/>
    <w:rsid w:val="00FD44FC"/>
    <w:rsid w:val="00FD5EF1"/>
    <w:rsid w:val="00FD797A"/>
    <w:rsid w:val="00FD7AB4"/>
    <w:rsid w:val="00FE2E03"/>
    <w:rsid w:val="00FE63FE"/>
    <w:rsid w:val="00FF0346"/>
    <w:rsid w:val="00FF2CC9"/>
    <w:rsid w:val="00FF3387"/>
    <w:rsid w:val="00FF6000"/>
    <w:rsid w:val="00FF75E6"/>
    <w:rsid w:val="068E137A"/>
    <w:rsid w:val="084DE539"/>
    <w:rsid w:val="0D3D1893"/>
    <w:rsid w:val="0E4EE58D"/>
    <w:rsid w:val="0ECA41FD"/>
    <w:rsid w:val="0EE23B01"/>
    <w:rsid w:val="11CF7489"/>
    <w:rsid w:val="14E5848E"/>
    <w:rsid w:val="160F4EA7"/>
    <w:rsid w:val="1E709DC8"/>
    <w:rsid w:val="22B1F024"/>
    <w:rsid w:val="23C793D1"/>
    <w:rsid w:val="245E26B4"/>
    <w:rsid w:val="2562DD65"/>
    <w:rsid w:val="26A9A70C"/>
    <w:rsid w:val="2801AD57"/>
    <w:rsid w:val="2CEEF0AC"/>
    <w:rsid w:val="32B6CD5B"/>
    <w:rsid w:val="34B5D798"/>
    <w:rsid w:val="37A91039"/>
    <w:rsid w:val="3CE6397F"/>
    <w:rsid w:val="3F7A5D8C"/>
    <w:rsid w:val="4530DD35"/>
    <w:rsid w:val="453B177D"/>
    <w:rsid w:val="4A13449A"/>
    <w:rsid w:val="4A7E5CA0"/>
    <w:rsid w:val="4AC20027"/>
    <w:rsid w:val="4AC2D95F"/>
    <w:rsid w:val="4BABE721"/>
    <w:rsid w:val="4BC51E05"/>
    <w:rsid w:val="4DE07C69"/>
    <w:rsid w:val="4F2C77C9"/>
    <w:rsid w:val="50093B7C"/>
    <w:rsid w:val="54646ED7"/>
    <w:rsid w:val="54C7FA2C"/>
    <w:rsid w:val="560C24E0"/>
    <w:rsid w:val="56F8F20B"/>
    <w:rsid w:val="592C0B25"/>
    <w:rsid w:val="59B137DD"/>
    <w:rsid w:val="59EF5EED"/>
    <w:rsid w:val="61B10418"/>
    <w:rsid w:val="631A169B"/>
    <w:rsid w:val="6730324B"/>
    <w:rsid w:val="6B069371"/>
    <w:rsid w:val="7399F915"/>
    <w:rsid w:val="752A7E0F"/>
    <w:rsid w:val="7B5A3C0F"/>
    <w:rsid w:val="7FD0E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9E937"/>
  <w15:chartTrackingRefBased/>
  <w15:docId w15:val="{652D5474-B2E2-E84A-9167-B174D391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1652"/>
    <w:rPr>
      <w:lang w:val="en-GB"/>
    </w:rPr>
  </w:style>
  <w:style w:type="paragraph" w:styleId="Heading1">
    <w:name w:val="heading 1"/>
    <w:basedOn w:val="Heading1-DE"/>
    <w:next w:val="Normal"/>
    <w:link w:val="Heading1Char"/>
    <w:uiPriority w:val="1"/>
    <w:qFormat/>
    <w:rsid w:val="00293D4E"/>
    <w:pPr>
      <w:spacing w:before="240"/>
      <w:ind w:left="0" w:hanging="1627"/>
      <w:outlineLvl w:val="0"/>
    </w:pPr>
    <w:rPr>
      <w:sz w:val="32"/>
      <w:szCs w:val="32"/>
    </w:rPr>
  </w:style>
  <w:style w:type="paragraph" w:styleId="Heading2">
    <w:name w:val="heading 2"/>
    <w:basedOn w:val="Normal"/>
    <w:next w:val="Normal"/>
    <w:link w:val="Heading2Char"/>
    <w:uiPriority w:val="6"/>
    <w:qFormat/>
    <w:rsid w:val="00D37C14"/>
    <w:pPr>
      <w:spacing w:before="240" w:after="240"/>
      <w:outlineLvl w:val="1"/>
    </w:pPr>
    <w:rPr>
      <w:b/>
      <w:color w:val="00237B" w:themeColor="accent4"/>
      <w:sz w:val="28"/>
      <w:szCs w:val="28"/>
    </w:rPr>
  </w:style>
  <w:style w:type="paragraph" w:styleId="Heading3">
    <w:name w:val="heading 3"/>
    <w:basedOn w:val="Normal"/>
    <w:next w:val="Normal"/>
    <w:link w:val="Heading3Char"/>
    <w:uiPriority w:val="7"/>
    <w:qFormat/>
    <w:rsid w:val="00293D4E"/>
    <w:pPr>
      <w:spacing w:before="240" w:after="240"/>
      <w:outlineLvl w:val="2"/>
    </w:pPr>
    <w:rPr>
      <w:b/>
      <w:color w:val="0098B7" w:themeColor="accent5"/>
      <w:sz w:val="24"/>
      <w:szCs w:val="24"/>
    </w:rPr>
  </w:style>
  <w:style w:type="paragraph" w:styleId="Heading5">
    <w:name w:val="heading 5"/>
    <w:basedOn w:val="Normal"/>
    <w:next w:val="Normal"/>
    <w:link w:val="Heading5Char"/>
    <w:uiPriority w:val="9"/>
    <w:semiHidden/>
    <w:unhideWhenUsed/>
    <w:qFormat/>
    <w:rsid w:val="0063451D"/>
    <w:pPr>
      <w:keepNext/>
      <w:keepLines/>
      <w:spacing w:before="40" w:after="0"/>
      <w:outlineLvl w:val="4"/>
    </w:pPr>
    <w:rPr>
      <w:rFonts w:asciiTheme="majorHAnsi" w:eastAsiaTheme="majorEastAsia" w:hAnsiTheme="majorHAnsi" w:cstheme="majorBidi"/>
      <w:color w:val="002DA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D9E"/>
  </w:style>
  <w:style w:type="paragraph" w:styleId="Footer">
    <w:name w:val="footer"/>
    <w:basedOn w:val="Normal"/>
    <w:link w:val="FooterChar"/>
    <w:uiPriority w:val="99"/>
    <w:unhideWhenUsed/>
    <w:rsid w:val="0076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D9E"/>
  </w:style>
  <w:style w:type="character" w:customStyle="1" w:styleId="Heading1Char">
    <w:name w:val="Heading 1 Char"/>
    <w:basedOn w:val="DefaultParagraphFont"/>
    <w:link w:val="Heading1"/>
    <w:uiPriority w:val="1"/>
    <w:rsid w:val="00293D4E"/>
    <w:rPr>
      <w:b/>
      <w:color w:val="003DD6" w:themeColor="accent1"/>
      <w:sz w:val="32"/>
      <w:szCs w:val="32"/>
    </w:rPr>
  </w:style>
  <w:style w:type="paragraph" w:customStyle="1" w:styleId="Contact2">
    <w:name w:val="Contact 2"/>
    <w:basedOn w:val="Normal"/>
    <w:link w:val="Contact2Char"/>
    <w:semiHidden/>
    <w:rsid w:val="002902E6"/>
    <w:pPr>
      <w:pBdr>
        <w:top w:val="dotted" w:sz="4" w:space="6" w:color="003DD6"/>
        <w:bottom w:val="dotted" w:sz="4" w:space="6" w:color="003DD6"/>
      </w:pBdr>
      <w:spacing w:before="120" w:after="120" w:line="276" w:lineRule="auto"/>
      <w:ind w:right="-28"/>
      <w:textboxTightWrap w:val="firstAndLastLine"/>
    </w:pPr>
    <w:rPr>
      <w:rFonts w:eastAsia="Times New Roman"/>
      <w:sz w:val="18"/>
      <w:szCs w:val="18"/>
      <w:lang w:eastAsia="fr-FR"/>
    </w:rPr>
  </w:style>
  <w:style w:type="paragraph" w:customStyle="1" w:styleId="contact">
    <w:name w:val="contact"/>
    <w:basedOn w:val="Normal"/>
    <w:link w:val="contactChar"/>
    <w:semiHidden/>
    <w:rsid w:val="002902E6"/>
    <w:pPr>
      <w:pBdr>
        <w:top w:val="dotted" w:sz="4" w:space="6" w:color="003DD6"/>
        <w:bottom w:val="dotted" w:sz="4" w:space="6" w:color="003DD6"/>
      </w:pBdr>
      <w:spacing w:before="120" w:after="120" w:line="276" w:lineRule="auto"/>
      <w:ind w:right="-28"/>
      <w:textboxTightWrap w:val="firstAndLastLine"/>
    </w:pPr>
    <w:rPr>
      <w:rFonts w:eastAsiaTheme="minorEastAsia"/>
      <w:sz w:val="18"/>
      <w:szCs w:val="18"/>
      <w:lang w:eastAsia="fr-FR"/>
    </w:rPr>
  </w:style>
  <w:style w:type="paragraph" w:styleId="Title">
    <w:name w:val="Title"/>
    <w:next w:val="Normal"/>
    <w:link w:val="TitleChar"/>
    <w:uiPriority w:val="10"/>
    <w:rsid w:val="00D7288E"/>
    <w:pPr>
      <w:spacing w:before="360" w:after="360" w:line="240" w:lineRule="auto"/>
      <w:ind w:left="-851"/>
      <w:contextualSpacing/>
    </w:pPr>
    <w:rPr>
      <w:rFonts w:asciiTheme="majorHAnsi" w:eastAsiaTheme="majorEastAsia" w:hAnsiTheme="majorHAnsi" w:cs="Times New Roman (Titres CS)"/>
      <w:b/>
      <w:spacing w:val="2"/>
      <w:sz w:val="40"/>
      <w:szCs w:val="40"/>
    </w:rPr>
  </w:style>
  <w:style w:type="character" w:customStyle="1" w:styleId="TitleChar">
    <w:name w:val="Title Char"/>
    <w:basedOn w:val="DefaultParagraphFont"/>
    <w:link w:val="Title"/>
    <w:uiPriority w:val="10"/>
    <w:rsid w:val="00D7288E"/>
    <w:rPr>
      <w:rFonts w:asciiTheme="majorHAnsi" w:eastAsiaTheme="majorEastAsia" w:hAnsiTheme="majorHAnsi" w:cs="Times New Roman (Titres CS)"/>
      <w:b/>
      <w:color w:val="000000" w:themeColor="text1"/>
      <w:spacing w:val="2"/>
      <w:sz w:val="40"/>
      <w:szCs w:val="40"/>
    </w:rPr>
  </w:style>
  <w:style w:type="character" w:styleId="Hyperlink">
    <w:name w:val="Hyperlink"/>
    <w:uiPriority w:val="99"/>
    <w:unhideWhenUsed/>
    <w:rsid w:val="00D7288E"/>
    <w:rPr>
      <w:color w:val="003DD6"/>
      <w:u w:val="single"/>
    </w:rPr>
  </w:style>
  <w:style w:type="paragraph" w:customStyle="1" w:styleId="Contact0">
    <w:name w:val="Contact"/>
    <w:basedOn w:val="Normal"/>
    <w:next w:val="Normal"/>
    <w:uiPriority w:val="9"/>
    <w:semiHidden/>
    <w:rsid w:val="00D7288E"/>
    <w:pPr>
      <w:pBdr>
        <w:top w:val="dotted" w:sz="4" w:space="6" w:color="003DD6"/>
        <w:bottom w:val="dotted" w:sz="4" w:space="6" w:color="003DD6"/>
      </w:pBdr>
      <w:spacing w:before="120" w:after="120" w:line="276" w:lineRule="auto"/>
      <w:ind w:right="-28"/>
      <w:textboxTightWrap w:val="firstAndLastLine"/>
    </w:pPr>
    <w:rPr>
      <w:rFonts w:eastAsia="Times New Roman"/>
      <w:sz w:val="18"/>
      <w:szCs w:val="18"/>
      <w:lang w:eastAsia="fr-FR"/>
    </w:rPr>
  </w:style>
  <w:style w:type="paragraph" w:styleId="BalloonText">
    <w:name w:val="Balloon Text"/>
    <w:basedOn w:val="Normal"/>
    <w:link w:val="BalloonTextChar"/>
    <w:uiPriority w:val="99"/>
    <w:semiHidden/>
    <w:unhideWhenUsed/>
    <w:rsid w:val="00D7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8E"/>
    <w:rPr>
      <w:rFonts w:ascii="Segoe UI" w:hAnsi="Segoe UI" w:cs="Segoe UI"/>
      <w:sz w:val="18"/>
      <w:szCs w:val="18"/>
    </w:rPr>
  </w:style>
  <w:style w:type="paragraph" w:styleId="ListParagraph">
    <w:name w:val="List Paragraph"/>
    <w:basedOn w:val="Normal"/>
    <w:link w:val="ListParagraphChar"/>
    <w:uiPriority w:val="34"/>
    <w:qFormat/>
    <w:rsid w:val="00AE5283"/>
    <w:pPr>
      <w:ind w:left="720"/>
      <w:contextualSpacing/>
    </w:pPr>
  </w:style>
  <w:style w:type="character" w:customStyle="1" w:styleId="Heading5Char">
    <w:name w:val="Heading 5 Char"/>
    <w:basedOn w:val="DefaultParagraphFont"/>
    <w:link w:val="Heading5"/>
    <w:uiPriority w:val="9"/>
    <w:semiHidden/>
    <w:rsid w:val="0063451D"/>
    <w:rPr>
      <w:rFonts w:asciiTheme="majorHAnsi" w:eastAsiaTheme="majorEastAsia" w:hAnsiTheme="majorHAnsi" w:cstheme="majorBidi"/>
      <w:color w:val="002DA0" w:themeColor="accent1" w:themeShade="BF"/>
    </w:rPr>
  </w:style>
  <w:style w:type="character" w:styleId="UnresolvedMention">
    <w:name w:val="Unresolved Mention"/>
    <w:basedOn w:val="DefaultParagraphFont"/>
    <w:uiPriority w:val="99"/>
    <w:semiHidden/>
    <w:unhideWhenUsed/>
    <w:rsid w:val="0063451D"/>
    <w:rPr>
      <w:color w:val="605E5C"/>
      <w:shd w:val="clear" w:color="auto" w:fill="E1DFDD"/>
    </w:rPr>
  </w:style>
  <w:style w:type="paragraph" w:customStyle="1" w:styleId="Body">
    <w:name w:val="Body"/>
    <w:basedOn w:val="Normal"/>
    <w:link w:val="BodyChar"/>
    <w:qFormat/>
    <w:rsid w:val="00B121B1"/>
    <w:pPr>
      <w:spacing w:line="276" w:lineRule="auto"/>
      <w:jc w:val="both"/>
    </w:pPr>
    <w:rPr>
      <w:sz w:val="22"/>
      <w:szCs w:val="22"/>
      <w:shd w:val="clear" w:color="auto" w:fill="FFFFFF"/>
    </w:rPr>
  </w:style>
  <w:style w:type="paragraph" w:customStyle="1" w:styleId="Bulletpoint">
    <w:name w:val="Bullet point"/>
    <w:basedOn w:val="ListParagraph"/>
    <w:link w:val="BulletpointChar"/>
    <w:uiPriority w:val="2"/>
    <w:qFormat/>
    <w:rsid w:val="009E639F"/>
    <w:pPr>
      <w:numPr>
        <w:numId w:val="3"/>
      </w:numPr>
      <w:spacing w:before="120" w:line="276" w:lineRule="auto"/>
      <w:contextualSpacing w:val="0"/>
      <w:jc w:val="both"/>
    </w:pPr>
    <w:rPr>
      <w:sz w:val="22"/>
      <w:szCs w:val="22"/>
      <w:shd w:val="clear" w:color="auto" w:fill="FFFFFF"/>
    </w:rPr>
  </w:style>
  <w:style w:type="character" w:customStyle="1" w:styleId="BodyChar">
    <w:name w:val="Body Char"/>
    <w:basedOn w:val="DefaultParagraphFont"/>
    <w:link w:val="Body"/>
    <w:rsid w:val="00B121B1"/>
    <w:rPr>
      <w:sz w:val="22"/>
      <w:szCs w:val="22"/>
      <w:lang w:val="en-GB"/>
    </w:rPr>
  </w:style>
  <w:style w:type="paragraph" w:customStyle="1" w:styleId="Leadparagraph">
    <w:name w:val="Lead paragraph"/>
    <w:basedOn w:val="Body"/>
    <w:link w:val="LeadparagraphChar"/>
    <w:uiPriority w:val="4"/>
    <w:qFormat/>
    <w:rsid w:val="00B121B1"/>
    <w:rPr>
      <w:color w:val="003DD6" w:themeColor="accent1"/>
      <w:sz w:val="24"/>
      <w:szCs w:val="24"/>
      <w:lang w:val="fr-BE"/>
    </w:rPr>
  </w:style>
  <w:style w:type="character" w:customStyle="1" w:styleId="ListParagraphChar">
    <w:name w:val="List Paragraph Char"/>
    <w:basedOn w:val="DefaultParagraphFont"/>
    <w:link w:val="ListParagraph"/>
    <w:uiPriority w:val="34"/>
    <w:rsid w:val="002A50E9"/>
  </w:style>
  <w:style w:type="character" w:customStyle="1" w:styleId="BulletpointChar">
    <w:name w:val="Bullet point Char"/>
    <w:basedOn w:val="ListParagraphChar"/>
    <w:link w:val="Bulletpoint"/>
    <w:uiPriority w:val="2"/>
    <w:rsid w:val="00B121B1"/>
    <w:rPr>
      <w:sz w:val="22"/>
      <w:szCs w:val="22"/>
      <w:lang w:val="en-GB"/>
    </w:rPr>
  </w:style>
  <w:style w:type="table" w:styleId="TableGrid">
    <w:name w:val="Table Grid"/>
    <w:basedOn w:val="TableNormal"/>
    <w:uiPriority w:val="39"/>
    <w:rsid w:val="0056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paragraphChar">
    <w:name w:val="Lead paragraph Char"/>
    <w:basedOn w:val="BodyChar"/>
    <w:link w:val="Leadparagraph"/>
    <w:uiPriority w:val="4"/>
    <w:rsid w:val="00B121B1"/>
    <w:rPr>
      <w:color w:val="003DD6" w:themeColor="accent1"/>
      <w:sz w:val="24"/>
      <w:szCs w:val="24"/>
      <w:lang w:val="fr-BE"/>
    </w:rPr>
  </w:style>
  <w:style w:type="table" w:customStyle="1" w:styleId="DIGITALEUROPEtables">
    <w:name w:val="DIGITALEUROPE tables"/>
    <w:basedOn w:val="TableNormal"/>
    <w:uiPriority w:val="99"/>
    <w:rsid w:val="00B55924"/>
    <w:pPr>
      <w:spacing w:after="0" w:line="240" w:lineRule="auto"/>
    </w:pPr>
    <w:tblPr>
      <w:tblBorders>
        <w:insideH w:val="single" w:sz="4" w:space="0" w:color="003DD6" w:themeColor="accent1"/>
        <w:insideV w:val="single" w:sz="4" w:space="0" w:color="003DD6" w:themeColor="accent1"/>
      </w:tblBorders>
    </w:tblPr>
    <w:tcPr>
      <w:shd w:val="clear" w:color="auto" w:fill="FFFFFF" w:themeFill="background1"/>
    </w:tcPr>
    <w:tblStylePr w:type="firstRow">
      <w:pPr>
        <w:jc w:val="center"/>
      </w:pPr>
      <w:rPr>
        <w:rFonts w:asciiTheme="majorHAnsi" w:hAnsiTheme="majorHAnsi"/>
        <w:b/>
        <w:color w:val="FFFFFF" w:themeColor="background1"/>
        <w:sz w:val="21"/>
      </w:rPr>
      <w:tblPr/>
      <w:tcPr>
        <w:tcBorders>
          <w:insideH w:val="single" w:sz="4" w:space="0" w:color="FFFFFF" w:themeColor="background1"/>
          <w:insideV w:val="single" w:sz="4" w:space="0" w:color="FFFFFF" w:themeColor="background1"/>
        </w:tcBorders>
        <w:shd w:val="clear" w:color="auto" w:fill="003DD6" w:themeFill="accent1"/>
      </w:tcPr>
    </w:tblStylePr>
  </w:style>
  <w:style w:type="paragraph" w:customStyle="1" w:styleId="Boxedtext">
    <w:name w:val="Boxed text"/>
    <w:basedOn w:val="Body"/>
    <w:link w:val="BoxedtextChar"/>
    <w:uiPriority w:val="5"/>
    <w:qFormat/>
    <w:rsid w:val="00495900"/>
    <w:pPr>
      <w:pBdr>
        <w:top w:val="dashSmallGap" w:sz="12" w:space="6" w:color="003DD6" w:themeColor="accent1"/>
        <w:left w:val="dashSmallGap" w:sz="12" w:space="6" w:color="003DD6" w:themeColor="accent1"/>
        <w:bottom w:val="dashSmallGap" w:sz="12" w:space="6" w:color="003DD6" w:themeColor="accent1"/>
        <w:right w:val="dashSmallGap" w:sz="12" w:space="6" w:color="003DD6" w:themeColor="accent1"/>
      </w:pBdr>
      <w:spacing w:before="240" w:after="240"/>
    </w:pPr>
  </w:style>
  <w:style w:type="paragraph" w:customStyle="1" w:styleId="Heading1-DE">
    <w:name w:val="Heading 1 - DE"/>
    <w:basedOn w:val="ListParagraph"/>
    <w:link w:val="Heading1-DEChar"/>
    <w:uiPriority w:val="1"/>
    <w:semiHidden/>
    <w:rsid w:val="009E639F"/>
    <w:pPr>
      <w:numPr>
        <w:numId w:val="4"/>
      </w:numPr>
      <w:spacing w:after="240"/>
    </w:pPr>
    <w:rPr>
      <w:b/>
      <w:color w:val="003DD6" w:themeColor="accent1"/>
      <w:sz w:val="28"/>
      <w:szCs w:val="28"/>
    </w:rPr>
  </w:style>
  <w:style w:type="character" w:customStyle="1" w:styleId="BoxedtextChar">
    <w:name w:val="Boxed text Char"/>
    <w:basedOn w:val="BodyChar"/>
    <w:link w:val="Boxedtext"/>
    <w:uiPriority w:val="5"/>
    <w:rsid w:val="00495900"/>
    <w:rPr>
      <w:sz w:val="22"/>
      <w:szCs w:val="22"/>
      <w:lang w:val="en-GB"/>
    </w:rPr>
  </w:style>
  <w:style w:type="paragraph" w:customStyle="1" w:styleId="Contactinfostyle">
    <w:name w:val="Contact info style"/>
    <w:basedOn w:val="contact"/>
    <w:link w:val="ContactinfostyleChar"/>
    <w:rsid w:val="00880422"/>
    <w:pPr>
      <w:pBdr>
        <w:top w:val="none" w:sz="0" w:space="0" w:color="auto"/>
        <w:bottom w:val="none" w:sz="0" w:space="0" w:color="auto"/>
      </w:pBdr>
      <w:spacing w:after="240"/>
      <w:ind w:right="-29"/>
    </w:pPr>
    <w:rPr>
      <w:rFonts w:ascii="Arial Nova" w:hAnsi="Arial Nova"/>
      <w:sz w:val="16"/>
      <w:szCs w:val="16"/>
    </w:rPr>
  </w:style>
  <w:style w:type="character" w:customStyle="1" w:styleId="Heading1-DEChar">
    <w:name w:val="Heading 1 - DE Char"/>
    <w:basedOn w:val="ListParagraphChar"/>
    <w:link w:val="Heading1-DE"/>
    <w:uiPriority w:val="1"/>
    <w:semiHidden/>
    <w:rsid w:val="00880422"/>
    <w:rPr>
      <w:b/>
      <w:color w:val="003DD6" w:themeColor="accent1"/>
      <w:sz w:val="28"/>
      <w:szCs w:val="28"/>
      <w:lang w:val="en-GB"/>
    </w:rPr>
  </w:style>
  <w:style w:type="paragraph" w:customStyle="1" w:styleId="Contactname">
    <w:name w:val="Contact name"/>
    <w:basedOn w:val="Contact2"/>
    <w:link w:val="ContactnameChar"/>
    <w:rsid w:val="00880422"/>
    <w:pPr>
      <w:pBdr>
        <w:top w:val="dashed" w:sz="4" w:space="12" w:color="003DD6" w:themeColor="accent1"/>
        <w:bottom w:val="none" w:sz="0" w:space="0" w:color="auto"/>
      </w:pBdr>
    </w:pPr>
    <w:rPr>
      <w:rFonts w:eastAsiaTheme="minorEastAsia"/>
      <w:sz w:val="22"/>
      <w:szCs w:val="22"/>
    </w:rPr>
  </w:style>
  <w:style w:type="character" w:customStyle="1" w:styleId="contactChar">
    <w:name w:val="contact Char"/>
    <w:basedOn w:val="DefaultParagraphFont"/>
    <w:link w:val="contact"/>
    <w:semiHidden/>
    <w:rsid w:val="00880422"/>
    <w:rPr>
      <w:rFonts w:eastAsiaTheme="minorEastAsia"/>
      <w:color w:val="000000" w:themeColor="text1"/>
      <w:sz w:val="18"/>
      <w:szCs w:val="18"/>
      <w:lang w:val="en-GB" w:eastAsia="fr-FR"/>
    </w:rPr>
  </w:style>
  <w:style w:type="paragraph" w:customStyle="1" w:styleId="Blockquote">
    <w:name w:val="Blockquote"/>
    <w:basedOn w:val="Body"/>
    <w:link w:val="BlockquoteChar"/>
    <w:uiPriority w:val="3"/>
    <w:qFormat/>
    <w:rsid w:val="009E639F"/>
    <w:pPr>
      <w:numPr>
        <w:numId w:val="6"/>
      </w:numPr>
      <w:spacing w:before="240" w:after="240"/>
      <w:ind w:left="792"/>
    </w:pPr>
    <w:rPr>
      <w:i/>
    </w:rPr>
  </w:style>
  <w:style w:type="character" w:customStyle="1" w:styleId="ContactinfostyleChar">
    <w:name w:val="Contact info style Char"/>
    <w:basedOn w:val="contactChar"/>
    <w:link w:val="Contactinfostyle"/>
    <w:rsid w:val="00880422"/>
    <w:rPr>
      <w:rFonts w:ascii="Arial Nova" w:eastAsiaTheme="minorEastAsia" w:hAnsi="Arial Nova"/>
      <w:color w:val="000000" w:themeColor="text1"/>
      <w:sz w:val="16"/>
      <w:szCs w:val="16"/>
      <w:lang w:val="en-GB" w:eastAsia="fr-FR"/>
    </w:rPr>
  </w:style>
  <w:style w:type="paragraph" w:styleId="EndnoteText">
    <w:name w:val="endnote text"/>
    <w:basedOn w:val="Normal"/>
    <w:link w:val="EndnoteTextChar"/>
    <w:uiPriority w:val="99"/>
    <w:semiHidden/>
    <w:unhideWhenUsed/>
    <w:rsid w:val="00DA5E58"/>
    <w:pPr>
      <w:spacing w:after="0" w:line="240" w:lineRule="auto"/>
    </w:pPr>
    <w:rPr>
      <w:sz w:val="20"/>
      <w:szCs w:val="20"/>
    </w:rPr>
  </w:style>
  <w:style w:type="character" w:customStyle="1" w:styleId="BlockquoteChar">
    <w:name w:val="Blockquote Char"/>
    <w:basedOn w:val="BodyChar"/>
    <w:link w:val="Blockquote"/>
    <w:uiPriority w:val="3"/>
    <w:rsid w:val="007B03A6"/>
    <w:rPr>
      <w:i/>
      <w:sz w:val="22"/>
      <w:szCs w:val="22"/>
      <w:lang w:val="en-GB"/>
    </w:rPr>
  </w:style>
  <w:style w:type="character" w:customStyle="1" w:styleId="EndnoteTextChar">
    <w:name w:val="Endnote Text Char"/>
    <w:basedOn w:val="DefaultParagraphFont"/>
    <w:link w:val="EndnoteText"/>
    <w:uiPriority w:val="99"/>
    <w:semiHidden/>
    <w:rsid w:val="00DA5E58"/>
    <w:rPr>
      <w:sz w:val="20"/>
      <w:szCs w:val="20"/>
    </w:rPr>
  </w:style>
  <w:style w:type="character" w:styleId="EndnoteReference">
    <w:name w:val="endnote reference"/>
    <w:basedOn w:val="DefaultParagraphFont"/>
    <w:uiPriority w:val="99"/>
    <w:semiHidden/>
    <w:unhideWhenUsed/>
    <w:rsid w:val="00DA5E58"/>
    <w:rPr>
      <w:vertAlign w:val="superscript"/>
    </w:rPr>
  </w:style>
  <w:style w:type="paragraph" w:styleId="FootnoteText">
    <w:name w:val="footnote text"/>
    <w:basedOn w:val="Normal"/>
    <w:link w:val="FootnoteTextChar"/>
    <w:uiPriority w:val="99"/>
    <w:unhideWhenUsed/>
    <w:qFormat/>
    <w:rsid w:val="00665EA9"/>
    <w:pPr>
      <w:spacing w:after="120" w:line="240" w:lineRule="auto"/>
      <w:ind w:left="113" w:hanging="113"/>
    </w:pPr>
    <w:rPr>
      <w:sz w:val="18"/>
      <w:szCs w:val="20"/>
    </w:rPr>
  </w:style>
  <w:style w:type="character" w:customStyle="1" w:styleId="FootnoteTextChar">
    <w:name w:val="Footnote Text Char"/>
    <w:basedOn w:val="DefaultParagraphFont"/>
    <w:link w:val="FootnoteText"/>
    <w:uiPriority w:val="99"/>
    <w:rsid w:val="00665EA9"/>
    <w:rPr>
      <w:sz w:val="18"/>
      <w:szCs w:val="20"/>
      <w:lang w:val="en-GB"/>
    </w:rPr>
  </w:style>
  <w:style w:type="character" w:styleId="FootnoteReference">
    <w:name w:val="footnote reference"/>
    <w:basedOn w:val="DefaultParagraphFont"/>
    <w:uiPriority w:val="99"/>
    <w:semiHidden/>
    <w:unhideWhenUsed/>
    <w:rsid w:val="00141652"/>
    <w:rPr>
      <w:rFonts w:asciiTheme="minorHAnsi" w:hAnsiTheme="minorHAnsi"/>
      <w:sz w:val="22"/>
      <w:vertAlign w:val="superscript"/>
    </w:rPr>
  </w:style>
  <w:style w:type="paragraph" w:customStyle="1" w:styleId="Title-DE">
    <w:name w:val="Title - DE"/>
    <w:basedOn w:val="Title"/>
    <w:link w:val="Title-DEChar"/>
    <w:uiPriority w:val="8"/>
    <w:qFormat/>
    <w:rsid w:val="002D2EC1"/>
    <w:pPr>
      <w:spacing w:before="0" w:after="120"/>
      <w:ind w:left="-2340" w:right="275"/>
    </w:pPr>
    <w:rPr>
      <w:sz w:val="50"/>
      <w:szCs w:val="50"/>
      <w:lang w:val="en-GB"/>
    </w:rPr>
  </w:style>
  <w:style w:type="paragraph" w:customStyle="1" w:styleId="Date-DE">
    <w:name w:val="Date - DE"/>
    <w:basedOn w:val="Normal"/>
    <w:link w:val="Date-DEChar"/>
    <w:uiPriority w:val="9"/>
    <w:qFormat/>
    <w:rsid w:val="00862E79"/>
    <w:pPr>
      <w:ind w:left="2250" w:hanging="4590"/>
    </w:pPr>
    <w:rPr>
      <w:rFonts w:ascii="Arial Nova" w:hAnsi="Arial Nova" w:cstheme="majorHAnsi"/>
      <w:color w:val="003DD6" w:themeColor="accent1"/>
    </w:rPr>
  </w:style>
  <w:style w:type="character" w:customStyle="1" w:styleId="Title-DEChar">
    <w:name w:val="Title - DE Char"/>
    <w:basedOn w:val="TitleChar"/>
    <w:link w:val="Title-DE"/>
    <w:uiPriority w:val="8"/>
    <w:rsid w:val="002D2EC1"/>
    <w:rPr>
      <w:rFonts w:asciiTheme="majorHAnsi" w:eastAsiaTheme="majorEastAsia" w:hAnsiTheme="majorHAnsi" w:cs="Times New Roman (Titres CS)"/>
      <w:b/>
      <w:color w:val="000000" w:themeColor="text1"/>
      <w:spacing w:val="2"/>
      <w:sz w:val="50"/>
      <w:szCs w:val="50"/>
      <w:lang w:val="en-GB"/>
    </w:rPr>
  </w:style>
  <w:style w:type="paragraph" w:styleId="TOCHeading">
    <w:name w:val="TOC Heading"/>
    <w:basedOn w:val="ExecutiveSummary"/>
    <w:next w:val="Normal"/>
    <w:uiPriority w:val="39"/>
    <w:unhideWhenUsed/>
    <w:rsid w:val="00737109"/>
    <w:pPr>
      <w:keepNext/>
      <w:keepLines/>
      <w:spacing w:after="240"/>
      <w:ind w:left="0" w:firstLine="0"/>
    </w:pPr>
    <w:rPr>
      <w:rFonts w:asciiTheme="majorHAnsi" w:eastAsiaTheme="majorEastAsia" w:hAnsiTheme="majorHAnsi" w:cstheme="majorBidi"/>
      <w:color w:val="auto"/>
      <w:sz w:val="32"/>
      <w:szCs w:val="32"/>
    </w:rPr>
  </w:style>
  <w:style w:type="character" w:customStyle="1" w:styleId="Date-DEChar">
    <w:name w:val="Date - DE Char"/>
    <w:basedOn w:val="DefaultParagraphFont"/>
    <w:link w:val="Date-DE"/>
    <w:uiPriority w:val="9"/>
    <w:rsid w:val="00862E79"/>
    <w:rPr>
      <w:rFonts w:ascii="Arial Nova" w:hAnsi="Arial Nova" w:cstheme="majorHAnsi"/>
      <w:color w:val="003DD6" w:themeColor="accent1"/>
    </w:rPr>
  </w:style>
  <w:style w:type="paragraph" w:styleId="TOC1">
    <w:name w:val="toc 1"/>
    <w:basedOn w:val="TOCHeading1-DE"/>
    <w:next w:val="Normal"/>
    <w:autoRedefine/>
    <w:uiPriority w:val="39"/>
    <w:unhideWhenUsed/>
    <w:rsid w:val="00A91F54"/>
    <w:pPr>
      <w:tabs>
        <w:tab w:val="left" w:pos="440"/>
        <w:tab w:val="right" w:leader="dot" w:pos="7910"/>
      </w:tabs>
      <w:spacing w:before="120" w:after="0"/>
    </w:pPr>
    <w:rPr>
      <w:rFonts w:cstheme="minorHAnsi"/>
      <w:bCs/>
      <w:iCs/>
      <w:noProof/>
      <w:sz w:val="24"/>
      <w:szCs w:val="24"/>
    </w:rPr>
  </w:style>
  <w:style w:type="character" w:customStyle="1" w:styleId="Heading3Char">
    <w:name w:val="Heading 3 Char"/>
    <w:basedOn w:val="DefaultParagraphFont"/>
    <w:link w:val="Heading3"/>
    <w:uiPriority w:val="7"/>
    <w:rsid w:val="00293D4E"/>
    <w:rPr>
      <w:b/>
      <w:color w:val="0098B7" w:themeColor="accent5"/>
      <w:sz w:val="24"/>
      <w:szCs w:val="24"/>
    </w:rPr>
  </w:style>
  <w:style w:type="character" w:customStyle="1" w:styleId="Heading2Char">
    <w:name w:val="Heading 2 Char"/>
    <w:basedOn w:val="DefaultParagraphFont"/>
    <w:link w:val="Heading2"/>
    <w:uiPriority w:val="6"/>
    <w:rsid w:val="00D37C14"/>
    <w:rPr>
      <w:b/>
      <w:color w:val="00237B" w:themeColor="accent4"/>
      <w:sz w:val="28"/>
      <w:szCs w:val="28"/>
      <w:lang w:val="en-GB"/>
    </w:rPr>
  </w:style>
  <w:style w:type="paragraph" w:styleId="TOC2">
    <w:name w:val="toc 2"/>
    <w:basedOn w:val="Normal"/>
    <w:next w:val="Normal"/>
    <w:autoRedefine/>
    <w:uiPriority w:val="39"/>
    <w:unhideWhenUsed/>
    <w:rsid w:val="00737109"/>
    <w:pPr>
      <w:spacing w:before="120" w:after="0"/>
      <w:ind w:left="220"/>
    </w:pPr>
    <w:rPr>
      <w:rFonts w:cstheme="minorHAnsi"/>
      <w:b/>
      <w:bCs/>
    </w:rPr>
  </w:style>
  <w:style w:type="paragraph" w:styleId="TOC3">
    <w:name w:val="toc 3"/>
    <w:basedOn w:val="Normal"/>
    <w:next w:val="Normal"/>
    <w:autoRedefine/>
    <w:uiPriority w:val="39"/>
    <w:unhideWhenUsed/>
    <w:rsid w:val="00737109"/>
    <w:pPr>
      <w:spacing w:after="0"/>
      <w:ind w:left="440"/>
    </w:pPr>
    <w:rPr>
      <w:rFonts w:cstheme="minorHAnsi"/>
      <w:sz w:val="20"/>
      <w:szCs w:val="20"/>
    </w:rPr>
  </w:style>
  <w:style w:type="character" w:styleId="FollowedHyperlink">
    <w:name w:val="FollowedHyperlink"/>
    <w:basedOn w:val="DefaultParagraphFont"/>
    <w:uiPriority w:val="99"/>
    <w:semiHidden/>
    <w:unhideWhenUsed/>
    <w:rsid w:val="00B17F22"/>
    <w:rPr>
      <w:color w:val="6400B4" w:themeColor="followedHyperlink"/>
      <w:u w:val="single"/>
    </w:rPr>
  </w:style>
  <w:style w:type="character" w:customStyle="1" w:styleId="Contact2Char">
    <w:name w:val="Contact 2 Char"/>
    <w:basedOn w:val="DefaultParagraphFont"/>
    <w:link w:val="Contact2"/>
    <w:semiHidden/>
    <w:rsid w:val="00880422"/>
    <w:rPr>
      <w:rFonts w:eastAsia="Times New Roman"/>
      <w:color w:val="000000" w:themeColor="text1"/>
      <w:sz w:val="18"/>
      <w:szCs w:val="18"/>
      <w:lang w:val="en-GB" w:eastAsia="fr-FR"/>
    </w:rPr>
  </w:style>
  <w:style w:type="character" w:customStyle="1" w:styleId="ContactnameChar">
    <w:name w:val="Contact name Char"/>
    <w:basedOn w:val="Contact2Char"/>
    <w:link w:val="Contactname"/>
    <w:rsid w:val="00880422"/>
    <w:rPr>
      <w:rFonts w:eastAsiaTheme="minorEastAsia"/>
      <w:color w:val="000000" w:themeColor="text1"/>
      <w:sz w:val="18"/>
      <w:szCs w:val="18"/>
      <w:lang w:val="en-GB" w:eastAsia="fr-FR"/>
    </w:rPr>
  </w:style>
  <w:style w:type="paragraph" w:customStyle="1" w:styleId="ExecutiveSummary">
    <w:name w:val="Executive Summary"/>
    <w:basedOn w:val="Normal"/>
    <w:link w:val="ExecutiveSummaryChar"/>
    <w:rsid w:val="00E97EDD"/>
    <w:pPr>
      <w:ind w:left="2250" w:hanging="2250"/>
    </w:pPr>
    <w:rPr>
      <w:b/>
      <w:sz w:val="28"/>
      <w:szCs w:val="28"/>
    </w:rPr>
  </w:style>
  <w:style w:type="paragraph" w:customStyle="1" w:styleId="TOCHeading1-DE">
    <w:name w:val="TOC Heading 1 - DE"/>
    <w:basedOn w:val="Normal"/>
    <w:link w:val="TOCHeading1-DEChar"/>
    <w:rsid w:val="00E97EDD"/>
    <w:rPr>
      <w:b/>
      <w:color w:val="003DD6" w:themeColor="accent1"/>
      <w:sz w:val="28"/>
      <w:szCs w:val="28"/>
    </w:rPr>
  </w:style>
  <w:style w:type="character" w:customStyle="1" w:styleId="ExecutiveSummaryChar">
    <w:name w:val="Executive Summary Char"/>
    <w:basedOn w:val="DefaultParagraphFont"/>
    <w:link w:val="ExecutiveSummary"/>
    <w:rsid w:val="00E97EDD"/>
    <w:rPr>
      <w:b/>
      <w:color w:val="000000" w:themeColor="text1"/>
      <w:sz w:val="28"/>
      <w:szCs w:val="28"/>
    </w:rPr>
  </w:style>
  <w:style w:type="character" w:customStyle="1" w:styleId="TOCHeading1-DEChar">
    <w:name w:val="TOC Heading 1 - DE Char"/>
    <w:basedOn w:val="DefaultParagraphFont"/>
    <w:link w:val="TOCHeading1-DE"/>
    <w:rsid w:val="00E97EDD"/>
    <w:rPr>
      <w:b/>
      <w:color w:val="003DD6" w:themeColor="accent1"/>
      <w:sz w:val="28"/>
      <w:szCs w:val="28"/>
    </w:rPr>
  </w:style>
  <w:style w:type="paragraph" w:customStyle="1" w:styleId="Heading1-shapes">
    <w:name w:val="Heading 1 - shapes"/>
    <w:basedOn w:val="Heading1"/>
    <w:rsid w:val="009E639F"/>
    <w:pPr>
      <w:numPr>
        <w:numId w:val="9"/>
      </w:numPr>
      <w:tabs>
        <w:tab w:val="left" w:pos="2127"/>
      </w:tabs>
      <w:spacing w:line="240" w:lineRule="auto"/>
      <w:ind w:left="2127"/>
    </w:pPr>
    <w:rPr>
      <w:rFonts w:eastAsia="Times New Roman"/>
      <w:color w:val="003DD6"/>
      <w:lang w:eastAsia="fr-FR"/>
    </w:rPr>
  </w:style>
  <w:style w:type="paragraph" w:customStyle="1" w:styleId="Boxed">
    <w:name w:val="Boxed"/>
    <w:basedOn w:val="Normal"/>
    <w:rsid w:val="000D7D06"/>
    <w:pPr>
      <w:pBdr>
        <w:top w:val="single" w:sz="18" w:space="8" w:color="003DD6" w:themeColor="accent1"/>
        <w:left w:val="single" w:sz="18" w:space="8" w:color="003DD6" w:themeColor="accent1"/>
        <w:bottom w:val="single" w:sz="18" w:space="8" w:color="003DD6" w:themeColor="accent1"/>
        <w:right w:val="single" w:sz="18" w:space="8" w:color="003DD6" w:themeColor="accent1"/>
      </w:pBdr>
      <w:spacing w:before="120" w:after="120" w:line="276" w:lineRule="auto"/>
      <w:ind w:left="2127"/>
    </w:pPr>
    <w:rPr>
      <w:rFonts w:eastAsia="Times New Roman"/>
      <w:lang w:eastAsia="fr-FR"/>
    </w:rPr>
  </w:style>
  <w:style w:type="character" w:styleId="SubtleReference">
    <w:name w:val="Subtle Reference"/>
    <w:uiPriority w:val="31"/>
    <w:rsid w:val="000D7D06"/>
    <w:rPr>
      <w:rFonts w:asciiTheme="majorHAnsi" w:eastAsiaTheme="majorEastAsia" w:hAnsiTheme="majorHAnsi" w:cstheme="majorBidi"/>
      <w:i/>
      <w:iCs/>
      <w:smallCaps/>
      <w:color w:val="5A5A5A" w:themeColor="text1" w:themeTint="A5"/>
      <w:spacing w:val="20"/>
    </w:rPr>
  </w:style>
  <w:style w:type="character" w:styleId="BookTitle">
    <w:name w:val="Book Title"/>
    <w:aliases w:val="Quote1"/>
    <w:basedOn w:val="DefaultParagraphFont"/>
    <w:uiPriority w:val="33"/>
    <w:rsid w:val="000D7D06"/>
    <w:rPr>
      <w:rFonts w:asciiTheme="majorHAnsi" w:hAnsiTheme="majorHAnsi" w:cs="Times New Roman (Titres CS)"/>
      <w:bCs/>
      <w:smallCaps/>
      <w:color w:val="003DD6"/>
    </w:rPr>
  </w:style>
  <w:style w:type="paragraph" w:styleId="TOC4">
    <w:name w:val="toc 4"/>
    <w:basedOn w:val="Normal"/>
    <w:next w:val="Normal"/>
    <w:autoRedefine/>
    <w:uiPriority w:val="39"/>
    <w:semiHidden/>
    <w:unhideWhenUsed/>
    <w:rsid w:val="00AA75F6"/>
    <w:pPr>
      <w:spacing w:after="0"/>
      <w:ind w:left="660"/>
    </w:pPr>
    <w:rPr>
      <w:rFonts w:cstheme="minorHAnsi"/>
      <w:sz w:val="20"/>
      <w:szCs w:val="20"/>
    </w:rPr>
  </w:style>
  <w:style w:type="paragraph" w:styleId="TOC5">
    <w:name w:val="toc 5"/>
    <w:basedOn w:val="Normal"/>
    <w:next w:val="Normal"/>
    <w:autoRedefine/>
    <w:uiPriority w:val="39"/>
    <w:semiHidden/>
    <w:unhideWhenUsed/>
    <w:rsid w:val="00AA75F6"/>
    <w:pPr>
      <w:spacing w:after="0"/>
      <w:ind w:left="880"/>
    </w:pPr>
    <w:rPr>
      <w:rFonts w:cstheme="minorHAnsi"/>
      <w:sz w:val="20"/>
      <w:szCs w:val="20"/>
    </w:rPr>
  </w:style>
  <w:style w:type="paragraph" w:styleId="TOC6">
    <w:name w:val="toc 6"/>
    <w:basedOn w:val="Normal"/>
    <w:next w:val="Normal"/>
    <w:autoRedefine/>
    <w:uiPriority w:val="39"/>
    <w:semiHidden/>
    <w:unhideWhenUsed/>
    <w:rsid w:val="00AA75F6"/>
    <w:pPr>
      <w:spacing w:after="0"/>
      <w:ind w:left="1100"/>
    </w:pPr>
    <w:rPr>
      <w:rFonts w:cstheme="minorHAnsi"/>
      <w:sz w:val="20"/>
      <w:szCs w:val="20"/>
    </w:rPr>
  </w:style>
  <w:style w:type="paragraph" w:styleId="TOC7">
    <w:name w:val="toc 7"/>
    <w:basedOn w:val="Normal"/>
    <w:next w:val="Normal"/>
    <w:autoRedefine/>
    <w:uiPriority w:val="39"/>
    <w:semiHidden/>
    <w:unhideWhenUsed/>
    <w:rsid w:val="00AA75F6"/>
    <w:pPr>
      <w:spacing w:after="0"/>
      <w:ind w:left="1320"/>
    </w:pPr>
    <w:rPr>
      <w:rFonts w:cstheme="minorHAnsi"/>
      <w:sz w:val="20"/>
      <w:szCs w:val="20"/>
    </w:rPr>
  </w:style>
  <w:style w:type="paragraph" w:styleId="TOC8">
    <w:name w:val="toc 8"/>
    <w:basedOn w:val="Normal"/>
    <w:next w:val="Normal"/>
    <w:autoRedefine/>
    <w:uiPriority w:val="39"/>
    <w:semiHidden/>
    <w:unhideWhenUsed/>
    <w:rsid w:val="00AA75F6"/>
    <w:pPr>
      <w:spacing w:after="0"/>
      <w:ind w:left="1540"/>
    </w:pPr>
    <w:rPr>
      <w:rFonts w:cstheme="minorHAnsi"/>
      <w:sz w:val="20"/>
      <w:szCs w:val="20"/>
    </w:rPr>
  </w:style>
  <w:style w:type="paragraph" w:styleId="TOC9">
    <w:name w:val="toc 9"/>
    <w:basedOn w:val="Normal"/>
    <w:next w:val="Normal"/>
    <w:autoRedefine/>
    <w:uiPriority w:val="39"/>
    <w:semiHidden/>
    <w:unhideWhenUsed/>
    <w:rsid w:val="00AA75F6"/>
    <w:pPr>
      <w:spacing w:after="0"/>
      <w:ind w:left="1760"/>
    </w:pPr>
    <w:rPr>
      <w:rFonts w:cstheme="minorHAnsi"/>
      <w:sz w:val="20"/>
      <w:szCs w:val="20"/>
    </w:rPr>
  </w:style>
  <w:style w:type="paragraph" w:customStyle="1" w:styleId="Contactinformationname">
    <w:name w:val="Contact information name"/>
    <w:basedOn w:val="ListParagraph"/>
    <w:link w:val="ContactinformationnameChar"/>
    <w:qFormat/>
    <w:rsid w:val="009E639F"/>
    <w:pPr>
      <w:numPr>
        <w:numId w:val="16"/>
      </w:numPr>
      <w:spacing w:before="120" w:after="120"/>
      <w:ind w:hanging="720"/>
    </w:pPr>
    <w:rPr>
      <w:sz w:val="26"/>
      <w:szCs w:val="26"/>
    </w:rPr>
  </w:style>
  <w:style w:type="paragraph" w:customStyle="1" w:styleId="Highlightedmargintext">
    <w:name w:val="Highlighted margin text"/>
    <w:basedOn w:val="Normal"/>
    <w:link w:val="HighlightedmargintextChar"/>
    <w:qFormat/>
    <w:rsid w:val="00CB1F4B"/>
    <w:pPr>
      <w:pBdr>
        <w:top w:val="dashSmallGap" w:sz="4" w:space="8" w:color="003DD6" w:themeColor="accent1"/>
        <w:bottom w:val="dashSmallGap" w:sz="4" w:space="8" w:color="003DD6" w:themeColor="accent1"/>
      </w:pBdr>
      <w:spacing w:after="0"/>
    </w:pPr>
    <w:rPr>
      <w:i/>
      <w:color w:val="003DD6" w:themeColor="accent1"/>
      <w:lang w:val="en-US"/>
    </w:rPr>
  </w:style>
  <w:style w:type="character" w:customStyle="1" w:styleId="ContactinformationnameChar">
    <w:name w:val="Contact information name Char"/>
    <w:basedOn w:val="ListParagraphChar"/>
    <w:link w:val="Contactinformationname"/>
    <w:rsid w:val="00E81ACC"/>
    <w:rPr>
      <w:sz w:val="26"/>
      <w:szCs w:val="26"/>
      <w:lang w:val="en-GB"/>
    </w:rPr>
  </w:style>
  <w:style w:type="character" w:customStyle="1" w:styleId="HighlightedmargintextChar">
    <w:name w:val="Highlighted margin text Char"/>
    <w:basedOn w:val="DefaultParagraphFont"/>
    <w:link w:val="Highlightedmargintext"/>
    <w:rsid w:val="00CB1F4B"/>
    <w:rPr>
      <w:i/>
      <w:color w:val="003DD6" w:themeColor="accent1"/>
    </w:rPr>
  </w:style>
  <w:style w:type="paragraph" w:customStyle="1" w:styleId="Membershippagetitle">
    <w:name w:val="Membership page title"/>
    <w:basedOn w:val="Body"/>
    <w:rsid w:val="00BB2F8C"/>
    <w:pPr>
      <w:spacing w:after="0" w:line="240" w:lineRule="auto"/>
      <w:ind w:left="-1526"/>
    </w:pPr>
    <w:rPr>
      <w:b/>
      <w:sz w:val="72"/>
      <w:szCs w:val="72"/>
      <w:lang w:val="en-US" w:eastAsia="fr-FR"/>
    </w:rPr>
  </w:style>
  <w:style w:type="paragraph" w:customStyle="1" w:styleId="Membershippageaboutustext">
    <w:name w:val="Membership page about us text"/>
    <w:basedOn w:val="Boxedtext"/>
    <w:rsid w:val="00BB2F8C"/>
    <w:pPr>
      <w:spacing w:before="120"/>
      <w:ind w:left="-1526"/>
    </w:pPr>
    <w:rPr>
      <w:lang w:eastAsia="fr-FR"/>
    </w:rPr>
  </w:style>
  <w:style w:type="paragraph" w:customStyle="1" w:styleId="Membershipaboutustitle">
    <w:name w:val="Membership about us title"/>
    <w:basedOn w:val="Body"/>
    <w:rsid w:val="00BB2F8C"/>
    <w:pPr>
      <w:spacing w:after="0"/>
      <w:ind w:hanging="1526"/>
    </w:pPr>
    <w:rPr>
      <w:b/>
      <w:color w:val="003DD6" w:themeColor="accent1"/>
      <w:sz w:val="28"/>
      <w:szCs w:val="28"/>
    </w:rPr>
  </w:style>
  <w:style w:type="paragraph" w:customStyle="1" w:styleId="Membershippagecorporatememberstitle">
    <w:name w:val="Membership page corporate members title"/>
    <w:basedOn w:val="Body"/>
    <w:rsid w:val="00BB2F8C"/>
    <w:pPr>
      <w:ind w:hanging="540"/>
    </w:pPr>
    <w:rPr>
      <w:b/>
      <w:color w:val="003DD6" w:themeColor="accent1"/>
      <w:sz w:val="24"/>
      <w:szCs w:val="24"/>
    </w:rPr>
  </w:style>
  <w:style w:type="paragraph" w:customStyle="1" w:styleId="membershippagentatitle">
    <w:name w:val="membership page nta title"/>
    <w:basedOn w:val="Body"/>
    <w:rsid w:val="00BB2F8C"/>
    <w:pPr>
      <w:ind w:hanging="540"/>
    </w:pPr>
    <w:rPr>
      <w:b/>
      <w:color w:val="003DD6" w:themeColor="accent1"/>
      <w:sz w:val="24"/>
      <w:szCs w:val="24"/>
      <w:lang w:val="en-US" w:eastAsia="fr-FR"/>
    </w:rPr>
  </w:style>
  <w:style w:type="paragraph" w:customStyle="1" w:styleId="Membershippagecorporatelist">
    <w:name w:val="Membership page corporate list"/>
    <w:basedOn w:val="Normal"/>
    <w:rsid w:val="00BB2F8C"/>
    <w:pPr>
      <w:spacing w:line="256" w:lineRule="auto"/>
      <w:ind w:left="-567"/>
      <w:jc w:val="both"/>
    </w:pPr>
    <w:rPr>
      <w:rFonts w:asciiTheme="majorHAnsi" w:eastAsia="Arial" w:hAnsiTheme="majorHAnsi" w:cstheme="majorHAnsi"/>
      <w:color w:val="auto"/>
      <w:sz w:val="18"/>
      <w:szCs w:val="18"/>
    </w:rPr>
  </w:style>
  <w:style w:type="paragraph" w:customStyle="1" w:styleId="MembershipNTAlist">
    <w:name w:val="Membership NTA list"/>
    <w:basedOn w:val="Normal"/>
    <w:rsid w:val="00BB2F8C"/>
    <w:pPr>
      <w:spacing w:after="0" w:line="276" w:lineRule="auto"/>
    </w:pPr>
    <w:rPr>
      <w:rFonts w:asciiTheme="majorHAnsi" w:eastAsia="Arial" w:hAnsiTheme="majorHAnsi" w:cstheme="majorHAnsi"/>
      <w:b/>
      <w:color w:val="auto"/>
      <w:sz w:val="18"/>
      <w:szCs w:val="18"/>
    </w:rPr>
  </w:style>
  <w:style w:type="character" w:styleId="CommentReference">
    <w:name w:val="annotation reference"/>
    <w:basedOn w:val="DefaultParagraphFont"/>
    <w:uiPriority w:val="99"/>
    <w:semiHidden/>
    <w:unhideWhenUsed/>
    <w:rsid w:val="009E639F"/>
    <w:rPr>
      <w:sz w:val="16"/>
      <w:szCs w:val="16"/>
    </w:rPr>
  </w:style>
  <w:style w:type="paragraph" w:styleId="CommentText">
    <w:name w:val="annotation text"/>
    <w:basedOn w:val="Normal"/>
    <w:link w:val="CommentTextChar"/>
    <w:uiPriority w:val="99"/>
    <w:unhideWhenUsed/>
    <w:rsid w:val="009E639F"/>
    <w:pPr>
      <w:spacing w:line="240" w:lineRule="auto"/>
    </w:pPr>
    <w:rPr>
      <w:rFonts w:asciiTheme="minorHAnsi" w:hAnsi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9E639F"/>
    <w:rPr>
      <w:rFonts w:asciiTheme="minorHAnsi" w:hAnsiTheme="minorHAnsi" w:cstheme="minorBidi"/>
      <w:color w:val="auto"/>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9E639F"/>
    <w:rPr>
      <w:rFonts w:ascii="Arial" w:hAnsi="Arial" w:cs="Arial"/>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9E639F"/>
    <w:rPr>
      <w:rFonts w:asciiTheme="minorHAnsi" w:hAnsiTheme="minorHAnsi" w:cstheme="minorBidi"/>
      <w:b/>
      <w:bCs/>
      <w:color w:val="auto"/>
      <w:kern w:val="2"/>
      <w:sz w:val="20"/>
      <w:szCs w:val="20"/>
      <w:lang w:val="en-GB"/>
      <w14:ligatures w14:val="standardContextual"/>
    </w:rPr>
  </w:style>
  <w:style w:type="paragraph" w:styleId="Revision">
    <w:name w:val="Revision"/>
    <w:hidden/>
    <w:uiPriority w:val="99"/>
    <w:semiHidden/>
    <w:rsid w:val="009E639F"/>
    <w:pPr>
      <w:spacing w:after="0" w:line="240" w:lineRule="auto"/>
    </w:pPr>
    <w:rPr>
      <w:lang w:val="en-GB"/>
    </w:rPr>
  </w:style>
  <w:style w:type="character" w:styleId="Mention">
    <w:name w:val="Mention"/>
    <w:basedOn w:val="DefaultParagraphFont"/>
    <w:uiPriority w:val="99"/>
    <w:unhideWhenUsed/>
    <w:rsid w:val="009E63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4634">
      <w:bodyDiv w:val="1"/>
      <w:marLeft w:val="0"/>
      <w:marRight w:val="0"/>
      <w:marTop w:val="0"/>
      <w:marBottom w:val="0"/>
      <w:divBdr>
        <w:top w:val="none" w:sz="0" w:space="0" w:color="auto"/>
        <w:left w:val="none" w:sz="0" w:space="0" w:color="auto"/>
        <w:bottom w:val="none" w:sz="0" w:space="0" w:color="auto"/>
        <w:right w:val="none" w:sz="0" w:space="0" w:color="auto"/>
      </w:divBdr>
    </w:div>
    <w:div w:id="66920471">
      <w:bodyDiv w:val="1"/>
      <w:marLeft w:val="0"/>
      <w:marRight w:val="0"/>
      <w:marTop w:val="0"/>
      <w:marBottom w:val="0"/>
      <w:divBdr>
        <w:top w:val="none" w:sz="0" w:space="0" w:color="auto"/>
        <w:left w:val="none" w:sz="0" w:space="0" w:color="auto"/>
        <w:bottom w:val="none" w:sz="0" w:space="0" w:color="auto"/>
        <w:right w:val="none" w:sz="0" w:space="0" w:color="auto"/>
      </w:divBdr>
    </w:div>
    <w:div w:id="223685428">
      <w:bodyDiv w:val="1"/>
      <w:marLeft w:val="0"/>
      <w:marRight w:val="0"/>
      <w:marTop w:val="0"/>
      <w:marBottom w:val="0"/>
      <w:divBdr>
        <w:top w:val="none" w:sz="0" w:space="0" w:color="auto"/>
        <w:left w:val="none" w:sz="0" w:space="0" w:color="auto"/>
        <w:bottom w:val="none" w:sz="0" w:space="0" w:color="auto"/>
        <w:right w:val="none" w:sz="0" w:space="0" w:color="auto"/>
      </w:divBdr>
    </w:div>
    <w:div w:id="250896527">
      <w:bodyDiv w:val="1"/>
      <w:marLeft w:val="0"/>
      <w:marRight w:val="0"/>
      <w:marTop w:val="0"/>
      <w:marBottom w:val="0"/>
      <w:divBdr>
        <w:top w:val="none" w:sz="0" w:space="0" w:color="auto"/>
        <w:left w:val="none" w:sz="0" w:space="0" w:color="auto"/>
        <w:bottom w:val="none" w:sz="0" w:space="0" w:color="auto"/>
        <w:right w:val="none" w:sz="0" w:space="0" w:color="auto"/>
      </w:divBdr>
    </w:div>
    <w:div w:id="413864687">
      <w:bodyDiv w:val="1"/>
      <w:marLeft w:val="0"/>
      <w:marRight w:val="0"/>
      <w:marTop w:val="0"/>
      <w:marBottom w:val="0"/>
      <w:divBdr>
        <w:top w:val="none" w:sz="0" w:space="0" w:color="auto"/>
        <w:left w:val="none" w:sz="0" w:space="0" w:color="auto"/>
        <w:bottom w:val="none" w:sz="0" w:space="0" w:color="auto"/>
        <w:right w:val="none" w:sz="0" w:space="0" w:color="auto"/>
      </w:divBdr>
    </w:div>
    <w:div w:id="469518046">
      <w:bodyDiv w:val="1"/>
      <w:marLeft w:val="0"/>
      <w:marRight w:val="0"/>
      <w:marTop w:val="0"/>
      <w:marBottom w:val="0"/>
      <w:divBdr>
        <w:top w:val="none" w:sz="0" w:space="0" w:color="auto"/>
        <w:left w:val="none" w:sz="0" w:space="0" w:color="auto"/>
        <w:bottom w:val="none" w:sz="0" w:space="0" w:color="auto"/>
        <w:right w:val="none" w:sz="0" w:space="0" w:color="auto"/>
      </w:divBdr>
    </w:div>
    <w:div w:id="559022333">
      <w:bodyDiv w:val="1"/>
      <w:marLeft w:val="0"/>
      <w:marRight w:val="0"/>
      <w:marTop w:val="0"/>
      <w:marBottom w:val="0"/>
      <w:divBdr>
        <w:top w:val="none" w:sz="0" w:space="0" w:color="auto"/>
        <w:left w:val="none" w:sz="0" w:space="0" w:color="auto"/>
        <w:bottom w:val="none" w:sz="0" w:space="0" w:color="auto"/>
        <w:right w:val="none" w:sz="0" w:space="0" w:color="auto"/>
      </w:divBdr>
    </w:div>
    <w:div w:id="710885729">
      <w:bodyDiv w:val="1"/>
      <w:marLeft w:val="0"/>
      <w:marRight w:val="0"/>
      <w:marTop w:val="0"/>
      <w:marBottom w:val="0"/>
      <w:divBdr>
        <w:top w:val="none" w:sz="0" w:space="0" w:color="auto"/>
        <w:left w:val="none" w:sz="0" w:space="0" w:color="auto"/>
        <w:bottom w:val="none" w:sz="0" w:space="0" w:color="auto"/>
        <w:right w:val="none" w:sz="0" w:space="0" w:color="auto"/>
      </w:divBdr>
    </w:div>
    <w:div w:id="724185390">
      <w:bodyDiv w:val="1"/>
      <w:marLeft w:val="0"/>
      <w:marRight w:val="0"/>
      <w:marTop w:val="0"/>
      <w:marBottom w:val="0"/>
      <w:divBdr>
        <w:top w:val="none" w:sz="0" w:space="0" w:color="auto"/>
        <w:left w:val="none" w:sz="0" w:space="0" w:color="auto"/>
        <w:bottom w:val="none" w:sz="0" w:space="0" w:color="auto"/>
        <w:right w:val="none" w:sz="0" w:space="0" w:color="auto"/>
      </w:divBdr>
    </w:div>
    <w:div w:id="918755468">
      <w:bodyDiv w:val="1"/>
      <w:marLeft w:val="0"/>
      <w:marRight w:val="0"/>
      <w:marTop w:val="0"/>
      <w:marBottom w:val="0"/>
      <w:divBdr>
        <w:top w:val="none" w:sz="0" w:space="0" w:color="auto"/>
        <w:left w:val="none" w:sz="0" w:space="0" w:color="auto"/>
        <w:bottom w:val="none" w:sz="0" w:space="0" w:color="auto"/>
        <w:right w:val="none" w:sz="0" w:space="0" w:color="auto"/>
      </w:divBdr>
    </w:div>
    <w:div w:id="985477822">
      <w:bodyDiv w:val="1"/>
      <w:marLeft w:val="0"/>
      <w:marRight w:val="0"/>
      <w:marTop w:val="0"/>
      <w:marBottom w:val="0"/>
      <w:divBdr>
        <w:top w:val="none" w:sz="0" w:space="0" w:color="auto"/>
        <w:left w:val="none" w:sz="0" w:space="0" w:color="auto"/>
        <w:bottom w:val="none" w:sz="0" w:space="0" w:color="auto"/>
        <w:right w:val="none" w:sz="0" w:space="0" w:color="auto"/>
      </w:divBdr>
    </w:div>
    <w:div w:id="1097598438">
      <w:bodyDiv w:val="1"/>
      <w:marLeft w:val="0"/>
      <w:marRight w:val="0"/>
      <w:marTop w:val="0"/>
      <w:marBottom w:val="0"/>
      <w:divBdr>
        <w:top w:val="none" w:sz="0" w:space="0" w:color="auto"/>
        <w:left w:val="none" w:sz="0" w:space="0" w:color="auto"/>
        <w:bottom w:val="none" w:sz="0" w:space="0" w:color="auto"/>
        <w:right w:val="none" w:sz="0" w:space="0" w:color="auto"/>
      </w:divBdr>
    </w:div>
    <w:div w:id="1147631283">
      <w:bodyDiv w:val="1"/>
      <w:marLeft w:val="0"/>
      <w:marRight w:val="0"/>
      <w:marTop w:val="0"/>
      <w:marBottom w:val="0"/>
      <w:divBdr>
        <w:top w:val="none" w:sz="0" w:space="0" w:color="auto"/>
        <w:left w:val="none" w:sz="0" w:space="0" w:color="auto"/>
        <w:bottom w:val="none" w:sz="0" w:space="0" w:color="auto"/>
        <w:right w:val="none" w:sz="0" w:space="0" w:color="auto"/>
      </w:divBdr>
    </w:div>
    <w:div w:id="1176459743">
      <w:bodyDiv w:val="1"/>
      <w:marLeft w:val="0"/>
      <w:marRight w:val="0"/>
      <w:marTop w:val="0"/>
      <w:marBottom w:val="0"/>
      <w:divBdr>
        <w:top w:val="none" w:sz="0" w:space="0" w:color="auto"/>
        <w:left w:val="none" w:sz="0" w:space="0" w:color="auto"/>
        <w:bottom w:val="none" w:sz="0" w:space="0" w:color="auto"/>
        <w:right w:val="none" w:sz="0" w:space="0" w:color="auto"/>
      </w:divBdr>
    </w:div>
    <w:div w:id="1273510423">
      <w:bodyDiv w:val="1"/>
      <w:marLeft w:val="0"/>
      <w:marRight w:val="0"/>
      <w:marTop w:val="0"/>
      <w:marBottom w:val="0"/>
      <w:divBdr>
        <w:top w:val="none" w:sz="0" w:space="0" w:color="auto"/>
        <w:left w:val="none" w:sz="0" w:space="0" w:color="auto"/>
        <w:bottom w:val="none" w:sz="0" w:space="0" w:color="auto"/>
        <w:right w:val="none" w:sz="0" w:space="0" w:color="auto"/>
      </w:divBdr>
    </w:div>
    <w:div w:id="1364791932">
      <w:bodyDiv w:val="1"/>
      <w:marLeft w:val="0"/>
      <w:marRight w:val="0"/>
      <w:marTop w:val="0"/>
      <w:marBottom w:val="0"/>
      <w:divBdr>
        <w:top w:val="none" w:sz="0" w:space="0" w:color="auto"/>
        <w:left w:val="none" w:sz="0" w:space="0" w:color="auto"/>
        <w:bottom w:val="none" w:sz="0" w:space="0" w:color="auto"/>
        <w:right w:val="none" w:sz="0" w:space="0" w:color="auto"/>
      </w:divBdr>
    </w:div>
    <w:div w:id="1410882139">
      <w:bodyDiv w:val="1"/>
      <w:marLeft w:val="0"/>
      <w:marRight w:val="0"/>
      <w:marTop w:val="0"/>
      <w:marBottom w:val="0"/>
      <w:divBdr>
        <w:top w:val="none" w:sz="0" w:space="0" w:color="auto"/>
        <w:left w:val="none" w:sz="0" w:space="0" w:color="auto"/>
        <w:bottom w:val="none" w:sz="0" w:space="0" w:color="auto"/>
        <w:right w:val="none" w:sz="0" w:space="0" w:color="auto"/>
      </w:divBdr>
    </w:div>
    <w:div w:id="1438989985">
      <w:bodyDiv w:val="1"/>
      <w:marLeft w:val="0"/>
      <w:marRight w:val="0"/>
      <w:marTop w:val="0"/>
      <w:marBottom w:val="0"/>
      <w:divBdr>
        <w:top w:val="none" w:sz="0" w:space="0" w:color="auto"/>
        <w:left w:val="none" w:sz="0" w:space="0" w:color="auto"/>
        <w:bottom w:val="none" w:sz="0" w:space="0" w:color="auto"/>
        <w:right w:val="none" w:sz="0" w:space="0" w:color="auto"/>
      </w:divBdr>
    </w:div>
    <w:div w:id="1468861174">
      <w:bodyDiv w:val="1"/>
      <w:marLeft w:val="0"/>
      <w:marRight w:val="0"/>
      <w:marTop w:val="0"/>
      <w:marBottom w:val="0"/>
      <w:divBdr>
        <w:top w:val="none" w:sz="0" w:space="0" w:color="auto"/>
        <w:left w:val="none" w:sz="0" w:space="0" w:color="auto"/>
        <w:bottom w:val="none" w:sz="0" w:space="0" w:color="auto"/>
        <w:right w:val="none" w:sz="0" w:space="0" w:color="auto"/>
      </w:divBdr>
    </w:div>
    <w:div w:id="1481463835">
      <w:bodyDiv w:val="1"/>
      <w:marLeft w:val="0"/>
      <w:marRight w:val="0"/>
      <w:marTop w:val="0"/>
      <w:marBottom w:val="0"/>
      <w:divBdr>
        <w:top w:val="none" w:sz="0" w:space="0" w:color="auto"/>
        <w:left w:val="none" w:sz="0" w:space="0" w:color="auto"/>
        <w:bottom w:val="none" w:sz="0" w:space="0" w:color="auto"/>
        <w:right w:val="none" w:sz="0" w:space="0" w:color="auto"/>
      </w:divBdr>
    </w:div>
    <w:div w:id="1644118437">
      <w:bodyDiv w:val="1"/>
      <w:marLeft w:val="0"/>
      <w:marRight w:val="0"/>
      <w:marTop w:val="0"/>
      <w:marBottom w:val="0"/>
      <w:divBdr>
        <w:top w:val="none" w:sz="0" w:space="0" w:color="auto"/>
        <w:left w:val="none" w:sz="0" w:space="0" w:color="auto"/>
        <w:bottom w:val="none" w:sz="0" w:space="0" w:color="auto"/>
        <w:right w:val="none" w:sz="0" w:space="0" w:color="auto"/>
      </w:divBdr>
    </w:div>
    <w:div w:id="1717125397">
      <w:bodyDiv w:val="1"/>
      <w:marLeft w:val="0"/>
      <w:marRight w:val="0"/>
      <w:marTop w:val="0"/>
      <w:marBottom w:val="0"/>
      <w:divBdr>
        <w:top w:val="none" w:sz="0" w:space="0" w:color="auto"/>
        <w:left w:val="none" w:sz="0" w:space="0" w:color="auto"/>
        <w:bottom w:val="none" w:sz="0" w:space="0" w:color="auto"/>
        <w:right w:val="none" w:sz="0" w:space="0" w:color="auto"/>
      </w:divBdr>
    </w:div>
    <w:div w:id="1808231873">
      <w:bodyDiv w:val="1"/>
      <w:marLeft w:val="0"/>
      <w:marRight w:val="0"/>
      <w:marTop w:val="0"/>
      <w:marBottom w:val="0"/>
      <w:divBdr>
        <w:top w:val="none" w:sz="0" w:space="0" w:color="auto"/>
        <w:left w:val="none" w:sz="0" w:space="0" w:color="auto"/>
        <w:bottom w:val="none" w:sz="0" w:space="0" w:color="auto"/>
        <w:right w:val="none" w:sz="0" w:space="0" w:color="auto"/>
      </w:divBdr>
    </w:div>
    <w:div w:id="1896970819">
      <w:bodyDiv w:val="1"/>
      <w:marLeft w:val="0"/>
      <w:marRight w:val="0"/>
      <w:marTop w:val="0"/>
      <w:marBottom w:val="0"/>
      <w:divBdr>
        <w:top w:val="none" w:sz="0" w:space="0" w:color="auto"/>
        <w:left w:val="none" w:sz="0" w:space="0" w:color="auto"/>
        <w:bottom w:val="none" w:sz="0" w:space="0" w:color="auto"/>
        <w:right w:val="none" w:sz="0" w:space="0" w:color="auto"/>
      </w:divBdr>
    </w:div>
    <w:div w:id="1917129050">
      <w:bodyDiv w:val="1"/>
      <w:marLeft w:val="0"/>
      <w:marRight w:val="0"/>
      <w:marTop w:val="0"/>
      <w:marBottom w:val="0"/>
      <w:divBdr>
        <w:top w:val="none" w:sz="0" w:space="0" w:color="auto"/>
        <w:left w:val="none" w:sz="0" w:space="0" w:color="auto"/>
        <w:bottom w:val="none" w:sz="0" w:space="0" w:color="auto"/>
        <w:right w:val="none" w:sz="0" w:space="0" w:color="auto"/>
      </w:divBdr>
    </w:div>
    <w:div w:id="1934319923">
      <w:bodyDiv w:val="1"/>
      <w:marLeft w:val="0"/>
      <w:marRight w:val="0"/>
      <w:marTop w:val="0"/>
      <w:marBottom w:val="0"/>
      <w:divBdr>
        <w:top w:val="none" w:sz="0" w:space="0" w:color="auto"/>
        <w:left w:val="none" w:sz="0" w:space="0" w:color="auto"/>
        <w:bottom w:val="none" w:sz="0" w:space="0" w:color="auto"/>
        <w:right w:val="none" w:sz="0" w:space="0" w:color="auto"/>
      </w:divBdr>
      <w:divsChild>
        <w:div w:id="111244563">
          <w:marLeft w:val="0"/>
          <w:marRight w:val="0"/>
          <w:marTop w:val="0"/>
          <w:marBottom w:val="0"/>
          <w:divBdr>
            <w:top w:val="none" w:sz="0" w:space="0" w:color="auto"/>
            <w:left w:val="none" w:sz="0" w:space="0" w:color="auto"/>
            <w:bottom w:val="none" w:sz="0" w:space="0" w:color="auto"/>
            <w:right w:val="none" w:sz="0" w:space="0" w:color="auto"/>
          </w:divBdr>
          <w:divsChild>
            <w:div w:id="1758401824">
              <w:marLeft w:val="0"/>
              <w:marRight w:val="0"/>
              <w:marTop w:val="0"/>
              <w:marBottom w:val="0"/>
              <w:divBdr>
                <w:top w:val="none" w:sz="0" w:space="0" w:color="auto"/>
                <w:left w:val="none" w:sz="0" w:space="0" w:color="auto"/>
                <w:bottom w:val="none" w:sz="0" w:space="0" w:color="auto"/>
                <w:right w:val="none" w:sz="0" w:space="0" w:color="auto"/>
              </w:divBdr>
              <w:divsChild>
                <w:div w:id="1798453485">
                  <w:marLeft w:val="0"/>
                  <w:marRight w:val="0"/>
                  <w:marTop w:val="0"/>
                  <w:marBottom w:val="0"/>
                  <w:divBdr>
                    <w:top w:val="none" w:sz="0" w:space="0" w:color="auto"/>
                    <w:left w:val="none" w:sz="0" w:space="0" w:color="auto"/>
                    <w:bottom w:val="none" w:sz="0" w:space="0" w:color="auto"/>
                    <w:right w:val="none" w:sz="0" w:space="0" w:color="auto"/>
                  </w:divBdr>
                  <w:divsChild>
                    <w:div w:id="12086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0124">
          <w:marLeft w:val="0"/>
          <w:marRight w:val="0"/>
          <w:marTop w:val="0"/>
          <w:marBottom w:val="0"/>
          <w:divBdr>
            <w:top w:val="none" w:sz="0" w:space="0" w:color="auto"/>
            <w:left w:val="none" w:sz="0" w:space="0" w:color="auto"/>
            <w:bottom w:val="none" w:sz="0" w:space="0" w:color="auto"/>
            <w:right w:val="none" w:sz="0" w:space="0" w:color="auto"/>
          </w:divBdr>
          <w:divsChild>
            <w:div w:id="830099007">
              <w:marLeft w:val="0"/>
              <w:marRight w:val="0"/>
              <w:marTop w:val="0"/>
              <w:marBottom w:val="0"/>
              <w:divBdr>
                <w:top w:val="none" w:sz="0" w:space="0" w:color="auto"/>
                <w:left w:val="none" w:sz="0" w:space="0" w:color="auto"/>
                <w:bottom w:val="none" w:sz="0" w:space="0" w:color="auto"/>
                <w:right w:val="none" w:sz="0" w:space="0" w:color="auto"/>
              </w:divBdr>
              <w:divsChild>
                <w:div w:id="1249189898">
                  <w:marLeft w:val="0"/>
                  <w:marRight w:val="0"/>
                  <w:marTop w:val="0"/>
                  <w:marBottom w:val="0"/>
                  <w:divBdr>
                    <w:top w:val="none" w:sz="0" w:space="0" w:color="auto"/>
                    <w:left w:val="none" w:sz="0" w:space="0" w:color="auto"/>
                    <w:bottom w:val="none" w:sz="0" w:space="0" w:color="auto"/>
                    <w:right w:val="none" w:sz="0" w:space="0" w:color="auto"/>
                  </w:divBdr>
                  <w:divsChild>
                    <w:div w:id="2398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2376">
      <w:bodyDiv w:val="1"/>
      <w:marLeft w:val="0"/>
      <w:marRight w:val="0"/>
      <w:marTop w:val="0"/>
      <w:marBottom w:val="0"/>
      <w:divBdr>
        <w:top w:val="none" w:sz="0" w:space="0" w:color="auto"/>
        <w:left w:val="none" w:sz="0" w:space="0" w:color="auto"/>
        <w:bottom w:val="none" w:sz="0" w:space="0" w:color="auto"/>
        <w:right w:val="none" w:sz="0" w:space="0" w:color="auto"/>
      </w:divBdr>
      <w:divsChild>
        <w:div w:id="1840465988">
          <w:marLeft w:val="0"/>
          <w:marRight w:val="0"/>
          <w:marTop w:val="0"/>
          <w:marBottom w:val="0"/>
          <w:divBdr>
            <w:top w:val="none" w:sz="0" w:space="0" w:color="auto"/>
            <w:left w:val="none" w:sz="0" w:space="0" w:color="auto"/>
            <w:bottom w:val="none" w:sz="0" w:space="0" w:color="auto"/>
            <w:right w:val="none" w:sz="0" w:space="0" w:color="auto"/>
          </w:divBdr>
          <w:divsChild>
            <w:div w:id="1035279458">
              <w:marLeft w:val="0"/>
              <w:marRight w:val="0"/>
              <w:marTop w:val="0"/>
              <w:marBottom w:val="0"/>
              <w:divBdr>
                <w:top w:val="none" w:sz="0" w:space="0" w:color="auto"/>
                <w:left w:val="none" w:sz="0" w:space="0" w:color="auto"/>
                <w:bottom w:val="none" w:sz="0" w:space="0" w:color="auto"/>
                <w:right w:val="none" w:sz="0" w:space="0" w:color="auto"/>
              </w:divBdr>
              <w:divsChild>
                <w:div w:id="1424914182">
                  <w:marLeft w:val="0"/>
                  <w:marRight w:val="0"/>
                  <w:marTop w:val="0"/>
                  <w:marBottom w:val="0"/>
                  <w:divBdr>
                    <w:top w:val="none" w:sz="0" w:space="0" w:color="auto"/>
                    <w:left w:val="none" w:sz="0" w:space="0" w:color="auto"/>
                    <w:bottom w:val="none" w:sz="0" w:space="0" w:color="auto"/>
                    <w:right w:val="none" w:sz="0" w:space="0" w:color="auto"/>
                  </w:divBdr>
                  <w:divsChild>
                    <w:div w:id="1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5506">
          <w:marLeft w:val="0"/>
          <w:marRight w:val="0"/>
          <w:marTop w:val="0"/>
          <w:marBottom w:val="0"/>
          <w:divBdr>
            <w:top w:val="none" w:sz="0" w:space="0" w:color="auto"/>
            <w:left w:val="none" w:sz="0" w:space="0" w:color="auto"/>
            <w:bottom w:val="none" w:sz="0" w:space="0" w:color="auto"/>
            <w:right w:val="none" w:sz="0" w:space="0" w:color="auto"/>
          </w:divBdr>
          <w:divsChild>
            <w:div w:id="1790010298">
              <w:marLeft w:val="0"/>
              <w:marRight w:val="0"/>
              <w:marTop w:val="0"/>
              <w:marBottom w:val="0"/>
              <w:divBdr>
                <w:top w:val="none" w:sz="0" w:space="0" w:color="auto"/>
                <w:left w:val="none" w:sz="0" w:space="0" w:color="auto"/>
                <w:bottom w:val="none" w:sz="0" w:space="0" w:color="auto"/>
                <w:right w:val="none" w:sz="0" w:space="0" w:color="auto"/>
              </w:divBdr>
              <w:divsChild>
                <w:div w:id="1029918038">
                  <w:marLeft w:val="0"/>
                  <w:marRight w:val="0"/>
                  <w:marTop w:val="0"/>
                  <w:marBottom w:val="0"/>
                  <w:divBdr>
                    <w:top w:val="none" w:sz="0" w:space="0" w:color="auto"/>
                    <w:left w:val="none" w:sz="0" w:space="0" w:color="auto"/>
                    <w:bottom w:val="none" w:sz="0" w:space="0" w:color="auto"/>
                    <w:right w:val="none" w:sz="0" w:space="0" w:color="auto"/>
                  </w:divBdr>
                  <w:divsChild>
                    <w:div w:id="14340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berto.difelice@digitaleurope.org" TargetMode="External"/><Relationship Id="rId18" Type="http://schemas.openxmlformats.org/officeDocument/2006/relationships/footer" Target="footer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ianluca.violante@digitaleurop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bit.ly/2X8pBZz" TargetMode="External"/><Relationship Id="rId1" Type="http://schemas.openxmlformats.org/officeDocument/2006/relationships/hyperlink" Target="http://www.digitaleurop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ante.gouv.fr/espace-presse/presentation-du-programme-care" TargetMode="External"/><Relationship Id="rId2" Type="http://schemas.openxmlformats.org/officeDocument/2006/relationships/hyperlink" Target="https://commission.europa.eu/document/download/e6cd4328-673c-4e7a-8683-f63ffb2cf648_en?filename=Political%20Guidelines%202024-2029_EN.pdf" TargetMode="External"/><Relationship Id="rId1" Type="http://schemas.openxmlformats.org/officeDocument/2006/relationships/hyperlink" Target="https://www.enisa.europa.eu/sites/default/files/publications/Health%20Threat%20Landscape.pdf" TargetMode="External"/><Relationship Id="rId6" Type="http://schemas.openxmlformats.org/officeDocument/2006/relationships/hyperlink" Target="https://cyberireland.ie/cybersecurity-roadmap.html" TargetMode="External"/><Relationship Id="rId5" Type="http://schemas.openxmlformats.org/officeDocument/2006/relationships/hyperlink" Target="https://h-isac.org" TargetMode="External"/><Relationship Id="rId4" Type="http://schemas.openxmlformats.org/officeDocument/2006/relationships/hyperlink" Target="https://www.isac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DIGITALEUROPE colours">
      <a:dk1>
        <a:srgbClr val="000000"/>
      </a:dk1>
      <a:lt1>
        <a:srgbClr val="FFFFFF"/>
      </a:lt1>
      <a:dk2>
        <a:srgbClr val="44546A"/>
      </a:dk2>
      <a:lt2>
        <a:srgbClr val="E7E6E6"/>
      </a:lt2>
      <a:accent1>
        <a:srgbClr val="003DD6"/>
      </a:accent1>
      <a:accent2>
        <a:srgbClr val="00E4E1"/>
      </a:accent2>
      <a:accent3>
        <a:srgbClr val="9105EB"/>
      </a:accent3>
      <a:accent4>
        <a:srgbClr val="00237B"/>
      </a:accent4>
      <a:accent5>
        <a:srgbClr val="0098B7"/>
      </a:accent5>
      <a:accent6>
        <a:srgbClr val="6400B4"/>
      </a:accent6>
      <a:hlink>
        <a:srgbClr val="003DD6"/>
      </a:hlink>
      <a:folHlink>
        <a:srgbClr val="6400B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97b967-f725-4f56-8131-98e5a0949cf1">
      <Terms xmlns="http://schemas.microsoft.com/office/infopath/2007/PartnerControls"/>
    </lcf76f155ced4ddcb4097134ff3c332f>
    <TaxCatchAll xmlns="aecc2932-c4c4-45be-a92a-c46ac01d1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9DE137FE44944A84E3AA8D80D442C" ma:contentTypeVersion="23" ma:contentTypeDescription="Create a new document." ma:contentTypeScope="" ma:versionID="c3457ff15ecbfea7bfaca5a82985d7f7">
  <xsd:schema xmlns:xsd="http://www.w3.org/2001/XMLSchema" xmlns:xs="http://www.w3.org/2001/XMLSchema" xmlns:p="http://schemas.microsoft.com/office/2006/metadata/properties" xmlns:ns2="2ca07cdb-912d-4dea-8fa4-d13d67f1286b" xmlns:ns3="3e3e339b-d5dc-4c92-a183-d476e9ce2ea3" targetNamespace="http://schemas.microsoft.com/office/2006/metadata/properties" ma:root="true" ma:fieldsID="308aa8f30f8e84840a1e09cebebeb7df" ns2:_="" ns3:_="">
    <xsd:import namespace="2ca07cdb-912d-4dea-8fa4-d13d67f1286b"/>
    <xsd:import namespace="3e3e339b-d5dc-4c92-a183-d476e9ce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ff8d44244d194d588ba66c7d40c4c405" minOccurs="0"/>
                <xsd:element ref="ns2:SPEAKERS" minOccurs="0"/>
                <xsd:element ref="ns2:DATE"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7cdb-912d-4dea-8fa4-d13d67f1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50fce9-f29c-4d5c-8af8-a670bfb0d9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f8d44244d194d588ba66c7d40c4c405" ma:index="27" nillable="true" ma:taxonomy="true" ma:internalName="ff8d44244d194d588ba66c7d40c4c405" ma:taxonomyFieldName="Cecilia_x0020_on_x0020_competitiveness" ma:displayName="TOPIC" ma:default="" ma:fieldId="{ff8d4424-4d19-4d58-8ba6-6c7d40c4c405}" ma:sspId="7d50fce9-f29c-4d5c-8af8-a670bfb0d937" ma:termSetId="8ed8c9ea-7052-4c1d-a4d7-b9c10bffea6f" ma:anchorId="00000000-0000-0000-0000-000000000000" ma:open="true" ma:isKeyword="false">
      <xsd:complexType>
        <xsd:sequence>
          <xsd:element ref="pc:Terms" minOccurs="0" maxOccurs="1"/>
        </xsd:sequence>
      </xsd:complexType>
    </xsd:element>
    <xsd:element name="SPEAKERS" ma:index="28" nillable="true" ma:displayName="SPEAKERS" ma:format="Dropdown" ma:list="UserInfo" ma:SharePointGroup="0" ma:internalName="SPEAK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format="DateTime" ma:internalName="DATE">
      <xsd:simpleType>
        <xsd:restriction base="dms:DateTime"/>
      </xsd:simpleType>
    </xsd:element>
    <xsd:element name="TAGS" ma:index="30" nillable="true" ma:displayName="TAGS" ma:format="Dropdown" ma:internalName="TA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e339b-d5dc-4c92-a183-d476e9ce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ff409-8a40-4589-b4a4-7f6dfabfdf79}" ma:internalName="TaxCatchAll" ma:showField="CatchAllData" ma:web="3e3e339b-d5dc-4c92-a183-d476e9ce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2DD66C7B2FBC14F8FC3C92CF8BA3BAF" ma:contentTypeVersion="15" ma:contentTypeDescription="Create a new document." ma:contentTypeScope="" ma:versionID="6bd26ed8197f29038ba85230474d0175">
  <xsd:schema xmlns:xsd="http://www.w3.org/2001/XMLSchema" xmlns:xs="http://www.w3.org/2001/XMLSchema" xmlns:p="http://schemas.microsoft.com/office/2006/metadata/properties" xmlns:ns2="a197b967-f725-4f56-8131-98e5a0949cf1" xmlns:ns3="aecc2932-c4c4-45be-a92a-c46ac01d1863" targetNamespace="http://schemas.microsoft.com/office/2006/metadata/properties" ma:root="true" ma:fieldsID="8363b19af0c633bc89128e6ff56c8301" ns2:_="" ns3:_="">
    <xsd:import namespace="a197b967-f725-4f56-8131-98e5a0949cf1"/>
    <xsd:import namespace="aecc2932-c4c4-45be-a92a-c46ac01d18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7b967-f725-4f56-8131-98e5a0949c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50fce9-f29c-4d5c-8af8-a670bfb0d9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cc2932-c4c4-45be-a92a-c46ac01d18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ebb558-c4e3-4d80-8e85-1cba1553e1ef}" ma:internalName="TaxCatchAll" ma:showField="CatchAllData" ma:web="aecc2932-c4c4-45be-a92a-c46ac01d18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06C86-394C-4FC6-81CA-B176A9F672EB}">
  <ds:schemaRefs>
    <ds:schemaRef ds:uri="http://schemas.microsoft.com/office/2006/metadata/properties"/>
    <ds:schemaRef ds:uri="http://schemas.microsoft.com/office/infopath/2007/PartnerControls"/>
    <ds:schemaRef ds:uri="2ca07cdb-912d-4dea-8fa4-d13d67f1286b"/>
    <ds:schemaRef ds:uri="3e3e339b-d5dc-4c92-a183-d476e9ce2ea3"/>
  </ds:schemaRefs>
</ds:datastoreItem>
</file>

<file path=customXml/itemProps2.xml><?xml version="1.0" encoding="utf-8"?>
<ds:datastoreItem xmlns:ds="http://schemas.openxmlformats.org/officeDocument/2006/customXml" ds:itemID="{8E5297B2-DA34-412C-B6B5-BA6ACC0F82DA}">
  <ds:schemaRefs>
    <ds:schemaRef ds:uri="http://schemas.microsoft.com/sharepoint/v3/contenttype/forms"/>
  </ds:schemaRefs>
</ds:datastoreItem>
</file>

<file path=customXml/itemProps3.xml><?xml version="1.0" encoding="utf-8"?>
<ds:datastoreItem xmlns:ds="http://schemas.openxmlformats.org/officeDocument/2006/customXml" ds:itemID="{644491A4-207F-4985-B158-8C4CE690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7cdb-912d-4dea-8fa4-d13d67f1286b"/>
    <ds:schemaRef ds:uri="3e3e339b-d5dc-4c92-a183-d476e9ce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1C35D-3153-4FF0-9E06-4A6C5F05F43B}">
  <ds:schemaRefs>
    <ds:schemaRef ds:uri="http://schemas.openxmlformats.org/officeDocument/2006/bibliography"/>
  </ds:schemaRefs>
</ds:datastoreItem>
</file>

<file path=customXml/itemProps5.xml><?xml version="1.0" encoding="utf-8"?>
<ds:datastoreItem xmlns:ds="http://schemas.openxmlformats.org/officeDocument/2006/customXml" ds:itemID="{2741B2D7-C0B2-42EE-9D58-769938012FB4}"/>
</file>

<file path=docProps/app.xml><?xml version="1.0" encoding="utf-8"?>
<Properties xmlns="http://schemas.openxmlformats.org/officeDocument/2006/extended-properties" xmlns:vt="http://schemas.openxmlformats.org/officeDocument/2006/docPropsVTypes">
  <Template>Normal</Template>
  <TotalTime>34</TotalTime>
  <Pages>1</Pages>
  <Words>3988</Words>
  <Characters>22735</Characters>
  <Application>Microsoft Office Word</Application>
  <DocSecurity>0</DocSecurity>
  <Lines>189</Lines>
  <Paragraphs>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Rita Jonusaite</cp:lastModifiedBy>
  <cp:revision>6</cp:revision>
  <cp:lastPrinted>2020-03-19T08:47:00Z</cp:lastPrinted>
  <dcterms:created xsi:type="dcterms:W3CDTF">2024-12-11T10:39:00Z</dcterms:created>
  <dcterms:modified xsi:type="dcterms:W3CDTF">2024-12-12T15:14:00Z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0x010100B2DD66C7B2FBC14F8FC3C92CF8BA3BAF</vt:lpwstr>
  </property>
  <property fmtid="{D5CDD505-2E9C-101B-9397-08002B2CF9AE}" pid="3" name="MediaServiceImageTags">
    <vt:lpwstr/>
  </property>
  <property fmtid="{D5CDD505-2E9C-101B-9397-08002B2CF9AE}" pid="4" name="GrammarlyDocumentId">
    <vt:lpwstr>ca391884-9315-4753-a1da-7834a5274e52</vt:lpwstr>
  </property>
  <property fmtid="{D5CDD505-2E9C-101B-9397-08002B2CF9AE}" pid="5" name="Cecilia_x0020_on_x0020_competitiveness">
    <vt:lpwstr/>
  </property>
  <property fmtid="{D5CDD505-2E9C-101B-9397-08002B2CF9AE}" pid="6" name="Cecilia on competitiveness">
    <vt:lpwstr/>
  </property>
  <property fmtid="{D5CDD505-2E9C-101B-9397-08002B2CF9AE}" pid="7" name="MSIP_Label_e81acc0d-dcc4-4dc9-a2c5-be70b05a2fe6_Enabled">
    <vt:lpwstr>true</vt:lpwstr>
  </property>
  <property fmtid="{D5CDD505-2E9C-101B-9397-08002B2CF9AE}" pid="8" name="MSIP_Label_e81acc0d-dcc4-4dc9-a2c5-be70b05a2fe6_SetDate">
    <vt:lpwstr>2024-11-15T08:38:10Z</vt:lpwstr>
  </property>
  <property fmtid="{D5CDD505-2E9C-101B-9397-08002B2CF9AE}" pid="9" name="MSIP_Label_e81acc0d-dcc4-4dc9-a2c5-be70b05a2fe6_Method">
    <vt:lpwstr>Privileged</vt:lpwstr>
  </property>
  <property fmtid="{D5CDD505-2E9C-101B-9397-08002B2CF9AE}" pid="10" name="MSIP_Label_e81acc0d-dcc4-4dc9-a2c5-be70b05a2fe6_Name">
    <vt:lpwstr>e81acc0d-dcc4-4dc9-a2c5-be70b05a2fe6</vt:lpwstr>
  </property>
  <property fmtid="{D5CDD505-2E9C-101B-9397-08002B2CF9AE}" pid="11" name="MSIP_Label_e81acc0d-dcc4-4dc9-a2c5-be70b05a2fe6_SiteId">
    <vt:lpwstr>a00de4ec-48a8-43a6-be74-e31274e2060d</vt:lpwstr>
  </property>
  <property fmtid="{D5CDD505-2E9C-101B-9397-08002B2CF9AE}" pid="12" name="MSIP_Label_e81acc0d-dcc4-4dc9-a2c5-be70b05a2fe6_ActionId">
    <vt:lpwstr>2bb5007d-dbdd-45a1-a0a1-2ab36ef448c6</vt:lpwstr>
  </property>
  <property fmtid="{D5CDD505-2E9C-101B-9397-08002B2CF9AE}" pid="13" name="MSIP_Label_e81acc0d-dcc4-4dc9-a2c5-be70b05a2fe6_ContentBits">
    <vt:lpwstr>0</vt:lpwstr>
  </property>
  <property fmtid="{D5CDD505-2E9C-101B-9397-08002B2CF9AE}" pid="14" name="_NewReviewCycle">
    <vt:lpwstr/>
  </property>
  <property fmtid="{D5CDD505-2E9C-101B-9397-08002B2CF9AE}" pid="16" name="SPEAKERS">
    <vt:lpwstr/>
  </property>
</Properties>
</file>